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2B" w:rsidRDefault="009F062B"/>
    <w:p w:rsidR="008F692C" w:rsidRDefault="008F692C"/>
    <w:p w:rsidR="008F692C" w:rsidRDefault="008F692C" w:rsidP="008F692C">
      <w:pPr>
        <w:jc w:val="center"/>
        <w:rPr>
          <w:b/>
          <w:sz w:val="32"/>
        </w:rPr>
      </w:pPr>
      <w:r>
        <w:rPr>
          <w:b/>
          <w:sz w:val="32"/>
        </w:rPr>
        <w:t>Reglugerð</w:t>
      </w:r>
    </w:p>
    <w:p w:rsidR="008F692C" w:rsidRDefault="008F692C" w:rsidP="008F692C">
      <w:pPr>
        <w:jc w:val="center"/>
        <w:rPr>
          <w:b/>
          <w:sz w:val="8"/>
        </w:rPr>
      </w:pPr>
    </w:p>
    <w:p w:rsidR="008F692C" w:rsidRDefault="008F692C" w:rsidP="008F692C">
      <w:pPr>
        <w:jc w:val="center"/>
      </w:pPr>
      <w:r>
        <w:rPr>
          <w:b/>
        </w:rPr>
        <w:t>um breytingu á reglugerð nr. 822/2004 um gerð og búnað ökutækja.</w:t>
      </w:r>
    </w:p>
    <w:p w:rsidR="008F692C" w:rsidRPr="00AF28AB" w:rsidRDefault="008F692C" w:rsidP="008F692C">
      <w:pPr>
        <w:rPr>
          <w:sz w:val="28"/>
        </w:rPr>
      </w:pPr>
    </w:p>
    <w:p w:rsidR="008F692C" w:rsidRPr="00C704E7" w:rsidRDefault="008F692C" w:rsidP="008F692C">
      <w:pPr>
        <w:numPr>
          <w:ilvl w:val="0"/>
          <w:numId w:val="1"/>
        </w:numPr>
        <w:jc w:val="center"/>
        <w:rPr>
          <w:b/>
        </w:rPr>
      </w:pPr>
      <w:r>
        <w:rPr>
          <w:b/>
        </w:rPr>
        <w:t>gr.</w:t>
      </w:r>
    </w:p>
    <w:p w:rsidR="008F692C" w:rsidRPr="00C704E7" w:rsidRDefault="008F692C" w:rsidP="008F692C">
      <w:r w:rsidRPr="00C704E7">
        <w:t>14. gr. breytist þannig:</w:t>
      </w:r>
    </w:p>
    <w:p w:rsidR="008F692C" w:rsidRDefault="008F692C" w:rsidP="008F692C">
      <w:r w:rsidRPr="00C704E7">
        <w:t>Síðari málsliður ákvæðis 14.11 (2) skal orðast svo:</w:t>
      </w:r>
    </w:p>
    <w:p w:rsidR="008F692C" w:rsidRPr="00C704E7" w:rsidRDefault="008F692C" w:rsidP="008F692C">
      <w:pPr>
        <w:ind w:firstLine="360"/>
        <w:rPr>
          <w:sz w:val="10"/>
          <w:szCs w:val="10"/>
        </w:rPr>
      </w:pPr>
    </w:p>
    <w:p w:rsidR="008F692C" w:rsidRPr="00C704E7" w:rsidRDefault="008F692C" w:rsidP="008F692C">
      <w:pPr>
        <w:jc w:val="both"/>
      </w:pPr>
      <w:r w:rsidRPr="00C704E7">
        <w:t>Massi og dráttarmassi fólksbifreiðar telst innan leyfðra marka ef uppfyllt eru ákvæði EBE-tilskipunar nr. 92/21 eða EB-reglugerðar nr. 661/2009 og ESB-reglugerðar nr. 1230/2012, með síðari breytingum.</w:t>
      </w:r>
    </w:p>
    <w:p w:rsidR="008F692C" w:rsidRPr="00AF28AB" w:rsidRDefault="008F692C" w:rsidP="008F692C">
      <w:pPr>
        <w:ind w:left="720"/>
        <w:rPr>
          <w:b/>
          <w:sz w:val="20"/>
        </w:rPr>
      </w:pPr>
    </w:p>
    <w:p w:rsidR="008F692C" w:rsidRPr="007E1C78" w:rsidRDefault="008F692C" w:rsidP="008F692C">
      <w:pPr>
        <w:numPr>
          <w:ilvl w:val="0"/>
          <w:numId w:val="1"/>
        </w:numPr>
        <w:jc w:val="center"/>
        <w:rPr>
          <w:b/>
        </w:rPr>
      </w:pPr>
      <w:r>
        <w:rPr>
          <w:b/>
        </w:rPr>
        <w:t>gr.</w:t>
      </w:r>
    </w:p>
    <w:p w:rsidR="008F692C" w:rsidRDefault="008F692C" w:rsidP="008F692C">
      <w:pPr>
        <w:tabs>
          <w:tab w:val="left" w:pos="397"/>
          <w:tab w:val="left" w:pos="709"/>
        </w:tabs>
        <w:jc w:val="both"/>
        <w:rPr>
          <w:rFonts w:ascii="Times" w:hAnsi="Times"/>
          <w:noProof/>
        </w:rPr>
      </w:pPr>
      <w:r>
        <w:rPr>
          <w:rFonts w:ascii="Times" w:hAnsi="Times"/>
          <w:noProof/>
        </w:rPr>
        <w:t>16. gr. breytist þannig:</w:t>
      </w:r>
      <w:bookmarkStart w:id="0" w:name="_GoBack"/>
      <w:bookmarkEnd w:id="0"/>
    </w:p>
    <w:p w:rsidR="008F692C" w:rsidRDefault="008F692C" w:rsidP="008F692C">
      <w:pPr>
        <w:tabs>
          <w:tab w:val="left" w:pos="397"/>
          <w:tab w:val="left" w:pos="709"/>
        </w:tabs>
        <w:jc w:val="both"/>
        <w:rPr>
          <w:rFonts w:ascii="Times" w:hAnsi="Times"/>
          <w:noProof/>
        </w:rPr>
      </w:pPr>
      <w:r>
        <w:rPr>
          <w:rFonts w:ascii="Times" w:hAnsi="Times"/>
          <w:noProof/>
        </w:rPr>
        <w:tab/>
        <w:t>a.</w:t>
      </w:r>
      <w:r>
        <w:rPr>
          <w:rFonts w:ascii="Times" w:hAnsi="Times"/>
          <w:noProof/>
        </w:rPr>
        <w:tab/>
        <w:t>Ákvæði 16.01 (5) skal orðast svo:</w:t>
      </w:r>
    </w:p>
    <w:p w:rsidR="008F692C" w:rsidRPr="00395C86" w:rsidRDefault="008F692C" w:rsidP="008F692C">
      <w:pPr>
        <w:tabs>
          <w:tab w:val="left" w:pos="397"/>
          <w:tab w:val="left" w:pos="709"/>
        </w:tabs>
        <w:ind w:firstLine="397"/>
        <w:jc w:val="both"/>
        <w:rPr>
          <w:rFonts w:ascii="Times" w:hAnsi="Times"/>
          <w:noProof/>
          <w:sz w:val="2"/>
          <w:szCs w:val="10"/>
        </w:rPr>
      </w:pPr>
    </w:p>
    <w:p w:rsidR="008F692C" w:rsidRDefault="008F692C" w:rsidP="008F692C">
      <w:pPr>
        <w:tabs>
          <w:tab w:val="left" w:pos="397"/>
          <w:tab w:val="left" w:pos="709"/>
        </w:tabs>
        <w:ind w:left="709"/>
        <w:jc w:val="both"/>
        <w:rPr>
          <w:rFonts w:ascii="Times" w:hAnsi="Times"/>
          <w:noProof/>
        </w:rPr>
      </w:pPr>
      <w:r>
        <w:rPr>
          <w:rFonts w:ascii="Times" w:hAnsi="Times"/>
          <w:noProof/>
        </w:rPr>
        <w:t>Hvergi á aðalmynstri hjólbarða má mynstur þeirra vera undir tilskilinni dýpt. Aðalmynstur merkir grófa mynstrið á miðhluta slitflatarins sem þekur þrjá fjórðu (75%) af breidd hans.</w:t>
      </w:r>
    </w:p>
    <w:p w:rsidR="008F692C" w:rsidRPr="00C704E7" w:rsidRDefault="008F692C" w:rsidP="008F692C">
      <w:pPr>
        <w:tabs>
          <w:tab w:val="left" w:pos="397"/>
          <w:tab w:val="left" w:pos="709"/>
        </w:tabs>
        <w:ind w:firstLine="397"/>
        <w:jc w:val="both"/>
        <w:rPr>
          <w:rFonts w:ascii="Times" w:hAnsi="Times"/>
          <w:noProof/>
          <w:sz w:val="10"/>
          <w:szCs w:val="10"/>
        </w:rPr>
      </w:pPr>
    </w:p>
    <w:p w:rsidR="008F692C" w:rsidRDefault="008F692C" w:rsidP="008F692C">
      <w:pPr>
        <w:tabs>
          <w:tab w:val="left" w:pos="397"/>
          <w:tab w:val="left" w:pos="709"/>
        </w:tabs>
        <w:ind w:firstLine="397"/>
        <w:jc w:val="both"/>
        <w:rPr>
          <w:rFonts w:ascii="Times" w:hAnsi="Times"/>
          <w:noProof/>
        </w:rPr>
      </w:pPr>
      <w:r>
        <w:rPr>
          <w:rFonts w:ascii="Times" w:hAnsi="Times"/>
          <w:noProof/>
        </w:rPr>
        <w:t>b.</w:t>
      </w:r>
      <w:r>
        <w:rPr>
          <w:rFonts w:ascii="Times" w:hAnsi="Times"/>
          <w:noProof/>
        </w:rPr>
        <w:tab/>
        <w:t>Lokamálsliður ákvæðis 16.10 (6) fellur brott.</w:t>
      </w:r>
    </w:p>
    <w:p w:rsidR="008F692C" w:rsidRPr="00C704E7" w:rsidRDefault="008F692C" w:rsidP="008F692C">
      <w:pPr>
        <w:tabs>
          <w:tab w:val="left" w:pos="397"/>
          <w:tab w:val="left" w:pos="709"/>
        </w:tabs>
        <w:ind w:firstLine="397"/>
        <w:jc w:val="both"/>
        <w:rPr>
          <w:rFonts w:ascii="Times" w:hAnsi="Times"/>
          <w:noProof/>
          <w:sz w:val="10"/>
          <w:szCs w:val="10"/>
        </w:rPr>
      </w:pPr>
    </w:p>
    <w:p w:rsidR="008F692C" w:rsidRDefault="008F692C" w:rsidP="008F692C">
      <w:pPr>
        <w:tabs>
          <w:tab w:val="left" w:pos="397"/>
          <w:tab w:val="left" w:pos="709"/>
        </w:tabs>
        <w:ind w:firstLine="397"/>
        <w:jc w:val="both"/>
        <w:rPr>
          <w:rFonts w:ascii="Times" w:hAnsi="Times"/>
          <w:noProof/>
        </w:rPr>
      </w:pPr>
      <w:r>
        <w:rPr>
          <w:rFonts w:ascii="Times" w:hAnsi="Times"/>
          <w:noProof/>
        </w:rPr>
        <w:t>c.  Ákvæði 16.11 (1) skal orðast svo:</w:t>
      </w:r>
    </w:p>
    <w:p w:rsidR="008F692C" w:rsidRPr="00395C86" w:rsidRDefault="008F692C" w:rsidP="008F692C">
      <w:pPr>
        <w:tabs>
          <w:tab w:val="left" w:pos="397"/>
          <w:tab w:val="left" w:pos="709"/>
        </w:tabs>
        <w:ind w:firstLine="397"/>
        <w:jc w:val="both"/>
        <w:rPr>
          <w:rFonts w:ascii="Times" w:hAnsi="Times"/>
          <w:noProof/>
          <w:sz w:val="2"/>
          <w:szCs w:val="10"/>
        </w:rPr>
      </w:pPr>
    </w:p>
    <w:p w:rsidR="008F692C" w:rsidRDefault="008F692C" w:rsidP="008F692C">
      <w:pPr>
        <w:tabs>
          <w:tab w:val="left" w:pos="397"/>
          <w:tab w:val="left" w:pos="709"/>
        </w:tabs>
        <w:ind w:left="709"/>
        <w:jc w:val="both"/>
        <w:rPr>
          <w:rFonts w:ascii="Times" w:hAnsi="Times"/>
          <w:noProof/>
        </w:rPr>
      </w:pPr>
      <w:r>
        <w:rPr>
          <w:rFonts w:ascii="Times" w:hAnsi="Times"/>
          <w:noProof/>
        </w:rPr>
        <w:t>Á tímabilinu frá og með 15. apríl til og með 31. október skal fólksbifreið búin hjólbörðum með a.m.k. 1,6 mm mynstursdýpt. Á tímabilinu frá og með 1. nóvember til og með 14. apríl skal fólksbifreið búin hjólbörðum með a.m.k. 3,0 mm mynstursdýpt.</w:t>
      </w:r>
    </w:p>
    <w:p w:rsidR="008F692C" w:rsidRPr="00C704E7" w:rsidRDefault="008F692C" w:rsidP="008F692C">
      <w:pPr>
        <w:tabs>
          <w:tab w:val="left" w:pos="397"/>
          <w:tab w:val="left" w:pos="709"/>
        </w:tabs>
        <w:ind w:firstLine="397"/>
        <w:jc w:val="both"/>
        <w:rPr>
          <w:rFonts w:ascii="Times" w:hAnsi="Times"/>
          <w:noProof/>
          <w:sz w:val="10"/>
          <w:szCs w:val="10"/>
        </w:rPr>
      </w:pPr>
    </w:p>
    <w:p w:rsidR="008F692C" w:rsidRDefault="008F692C" w:rsidP="008F692C">
      <w:pPr>
        <w:tabs>
          <w:tab w:val="left" w:pos="397"/>
          <w:tab w:val="left" w:pos="709"/>
        </w:tabs>
        <w:ind w:firstLine="397"/>
        <w:jc w:val="both"/>
        <w:rPr>
          <w:rFonts w:ascii="Times" w:hAnsi="Times"/>
          <w:noProof/>
        </w:rPr>
      </w:pPr>
      <w:r>
        <w:rPr>
          <w:rFonts w:ascii="Times" w:hAnsi="Times"/>
          <w:noProof/>
        </w:rPr>
        <w:t>d.</w:t>
      </w:r>
      <w:r>
        <w:rPr>
          <w:rFonts w:ascii="Times" w:hAnsi="Times"/>
          <w:noProof/>
        </w:rPr>
        <w:tab/>
        <w:t>Ákvæði 16.12 (1) skal orðast svo:</w:t>
      </w:r>
    </w:p>
    <w:p w:rsidR="008F692C" w:rsidRPr="00395C86" w:rsidRDefault="008F692C" w:rsidP="008F692C">
      <w:pPr>
        <w:tabs>
          <w:tab w:val="left" w:pos="397"/>
          <w:tab w:val="left" w:pos="709"/>
        </w:tabs>
        <w:ind w:firstLine="397"/>
        <w:jc w:val="both"/>
        <w:rPr>
          <w:rFonts w:ascii="Times" w:hAnsi="Times"/>
          <w:noProof/>
          <w:sz w:val="2"/>
          <w:szCs w:val="10"/>
        </w:rPr>
      </w:pPr>
    </w:p>
    <w:p w:rsidR="008F692C" w:rsidRDefault="008F692C" w:rsidP="008F692C">
      <w:pPr>
        <w:tabs>
          <w:tab w:val="left" w:pos="397"/>
          <w:tab w:val="left" w:pos="709"/>
        </w:tabs>
        <w:ind w:left="709"/>
        <w:jc w:val="both"/>
        <w:rPr>
          <w:rFonts w:ascii="Times" w:hAnsi="Times"/>
          <w:noProof/>
        </w:rPr>
      </w:pPr>
      <w:r>
        <w:rPr>
          <w:rFonts w:ascii="Times" w:hAnsi="Times"/>
          <w:noProof/>
        </w:rPr>
        <w:t>Á tímabilinu frá og með 15. apríl til og með 31. október skal hópbifreið búin hjólbörðum með a.m.k. 1,6 mm mynstursdýpt. Á tímabilinu frá og með 1. nóvember til og með 14. apríl skal hópbifreið búin hjólbörðum með a.m.k. 3,0 mm mynstursdýpt.</w:t>
      </w:r>
    </w:p>
    <w:p w:rsidR="008F692C" w:rsidRPr="00C704E7" w:rsidRDefault="008F692C" w:rsidP="008F692C">
      <w:pPr>
        <w:tabs>
          <w:tab w:val="left" w:pos="397"/>
          <w:tab w:val="left" w:pos="709"/>
        </w:tabs>
        <w:ind w:firstLine="397"/>
        <w:jc w:val="both"/>
        <w:rPr>
          <w:rFonts w:ascii="Times" w:hAnsi="Times"/>
          <w:noProof/>
          <w:sz w:val="10"/>
          <w:szCs w:val="10"/>
        </w:rPr>
      </w:pPr>
    </w:p>
    <w:p w:rsidR="008F692C" w:rsidRDefault="008F692C" w:rsidP="008F692C">
      <w:pPr>
        <w:tabs>
          <w:tab w:val="left" w:pos="397"/>
          <w:tab w:val="left" w:pos="709"/>
        </w:tabs>
        <w:ind w:firstLine="397"/>
        <w:jc w:val="both"/>
        <w:rPr>
          <w:rFonts w:ascii="Times" w:hAnsi="Times"/>
          <w:noProof/>
        </w:rPr>
      </w:pPr>
      <w:r>
        <w:rPr>
          <w:rFonts w:ascii="Times" w:hAnsi="Times"/>
          <w:noProof/>
        </w:rPr>
        <w:t>e.</w:t>
      </w:r>
      <w:r>
        <w:rPr>
          <w:rFonts w:ascii="Times" w:hAnsi="Times"/>
          <w:noProof/>
        </w:rPr>
        <w:tab/>
        <w:t>Ákvæði 16.14 (1) skal orðast svo:</w:t>
      </w:r>
    </w:p>
    <w:p w:rsidR="008F692C" w:rsidRPr="00395C86" w:rsidRDefault="008F692C" w:rsidP="008F692C">
      <w:pPr>
        <w:tabs>
          <w:tab w:val="left" w:pos="397"/>
          <w:tab w:val="left" w:pos="709"/>
        </w:tabs>
        <w:ind w:firstLine="397"/>
        <w:jc w:val="both"/>
        <w:rPr>
          <w:rFonts w:ascii="Times" w:hAnsi="Times"/>
          <w:noProof/>
          <w:sz w:val="2"/>
          <w:szCs w:val="10"/>
        </w:rPr>
      </w:pPr>
    </w:p>
    <w:p w:rsidR="008F692C" w:rsidRDefault="008F692C" w:rsidP="008F692C">
      <w:pPr>
        <w:tabs>
          <w:tab w:val="left" w:pos="397"/>
          <w:tab w:val="left" w:pos="709"/>
        </w:tabs>
        <w:ind w:left="709"/>
        <w:jc w:val="both"/>
        <w:rPr>
          <w:rFonts w:ascii="Times" w:hAnsi="Times"/>
          <w:noProof/>
        </w:rPr>
      </w:pPr>
      <w:r>
        <w:rPr>
          <w:rFonts w:ascii="Times" w:hAnsi="Times"/>
          <w:noProof/>
        </w:rPr>
        <w:t>Á tímabilinu frá og með 15. apríl til og með 31. október skal vörubifreið búin hjólbörðum með a.m.k. 1,6 mm mynstursdýpt. Á tímabilinu frá og með 1. nóvember til og með 14. apríl skal vörubifreið búin hjólbörðum með a.m.k. 3,0 mm mynstursdýpt.</w:t>
      </w:r>
    </w:p>
    <w:p w:rsidR="008F692C" w:rsidRPr="00C704E7" w:rsidRDefault="008F692C" w:rsidP="008F692C">
      <w:pPr>
        <w:tabs>
          <w:tab w:val="left" w:pos="397"/>
          <w:tab w:val="left" w:pos="709"/>
        </w:tabs>
        <w:ind w:firstLine="397"/>
        <w:jc w:val="both"/>
        <w:rPr>
          <w:rFonts w:ascii="Times" w:hAnsi="Times"/>
          <w:noProof/>
          <w:sz w:val="10"/>
          <w:szCs w:val="10"/>
        </w:rPr>
      </w:pPr>
    </w:p>
    <w:p w:rsidR="008F692C" w:rsidRDefault="008F692C" w:rsidP="008F692C">
      <w:pPr>
        <w:tabs>
          <w:tab w:val="left" w:pos="397"/>
          <w:tab w:val="left" w:pos="709"/>
        </w:tabs>
        <w:ind w:firstLine="397"/>
        <w:jc w:val="both"/>
        <w:rPr>
          <w:rFonts w:ascii="Times" w:hAnsi="Times"/>
          <w:noProof/>
        </w:rPr>
      </w:pPr>
      <w:r>
        <w:rPr>
          <w:rFonts w:ascii="Times" w:hAnsi="Times"/>
          <w:noProof/>
        </w:rPr>
        <w:t>f.   Lokamálsliður ákvæðis 16.20 (3) fellur brott.</w:t>
      </w:r>
    </w:p>
    <w:p w:rsidR="008F692C" w:rsidRPr="00C704E7" w:rsidRDefault="008F692C" w:rsidP="008F692C">
      <w:pPr>
        <w:tabs>
          <w:tab w:val="left" w:pos="397"/>
          <w:tab w:val="left" w:pos="709"/>
        </w:tabs>
        <w:ind w:firstLine="397"/>
        <w:jc w:val="both"/>
        <w:rPr>
          <w:rFonts w:ascii="Times" w:hAnsi="Times"/>
          <w:noProof/>
          <w:sz w:val="10"/>
          <w:szCs w:val="10"/>
        </w:rPr>
      </w:pPr>
    </w:p>
    <w:p w:rsidR="008F692C" w:rsidRDefault="008F692C" w:rsidP="008F692C">
      <w:pPr>
        <w:tabs>
          <w:tab w:val="left" w:pos="397"/>
          <w:tab w:val="left" w:pos="709"/>
        </w:tabs>
        <w:ind w:firstLine="397"/>
        <w:jc w:val="both"/>
        <w:rPr>
          <w:rFonts w:ascii="Times" w:hAnsi="Times"/>
          <w:noProof/>
        </w:rPr>
      </w:pPr>
      <w:r>
        <w:rPr>
          <w:rFonts w:ascii="Times" w:hAnsi="Times"/>
          <w:noProof/>
        </w:rPr>
        <w:t>g.</w:t>
      </w:r>
      <w:r>
        <w:rPr>
          <w:rFonts w:ascii="Times" w:hAnsi="Times"/>
          <w:noProof/>
        </w:rPr>
        <w:tab/>
        <w:t>Lokamálsliður ákvæðis 16.50 (3) fellur brott.</w:t>
      </w:r>
    </w:p>
    <w:p w:rsidR="008F692C" w:rsidRPr="00C704E7" w:rsidRDefault="008F692C" w:rsidP="008F692C">
      <w:pPr>
        <w:tabs>
          <w:tab w:val="left" w:pos="397"/>
          <w:tab w:val="left" w:pos="709"/>
        </w:tabs>
        <w:ind w:firstLine="397"/>
        <w:jc w:val="both"/>
        <w:rPr>
          <w:rFonts w:ascii="Times" w:hAnsi="Times"/>
          <w:noProof/>
          <w:sz w:val="10"/>
          <w:szCs w:val="10"/>
        </w:rPr>
      </w:pPr>
    </w:p>
    <w:p w:rsidR="008F692C" w:rsidRDefault="008F692C" w:rsidP="008F692C">
      <w:pPr>
        <w:tabs>
          <w:tab w:val="left" w:pos="397"/>
          <w:tab w:val="left" w:pos="709"/>
        </w:tabs>
        <w:ind w:firstLine="397"/>
        <w:jc w:val="both"/>
        <w:rPr>
          <w:rFonts w:ascii="Times" w:hAnsi="Times"/>
          <w:noProof/>
        </w:rPr>
      </w:pPr>
      <w:r>
        <w:rPr>
          <w:rFonts w:ascii="Times" w:hAnsi="Times"/>
          <w:noProof/>
        </w:rPr>
        <w:t>h.</w:t>
      </w:r>
      <w:r>
        <w:rPr>
          <w:rFonts w:ascii="Times" w:hAnsi="Times"/>
          <w:noProof/>
        </w:rPr>
        <w:tab/>
        <w:t>Ákvæði 16.51 (1) skal orðast svo:</w:t>
      </w:r>
    </w:p>
    <w:p w:rsidR="008F692C" w:rsidRPr="00395C86" w:rsidRDefault="008F692C" w:rsidP="008F692C">
      <w:pPr>
        <w:tabs>
          <w:tab w:val="left" w:pos="397"/>
          <w:tab w:val="left" w:pos="709"/>
        </w:tabs>
        <w:ind w:firstLine="397"/>
        <w:jc w:val="both"/>
        <w:rPr>
          <w:rFonts w:ascii="Times" w:hAnsi="Times"/>
          <w:noProof/>
          <w:sz w:val="2"/>
          <w:szCs w:val="10"/>
        </w:rPr>
      </w:pPr>
    </w:p>
    <w:p w:rsidR="008F692C" w:rsidRDefault="008F692C" w:rsidP="008F692C">
      <w:pPr>
        <w:tabs>
          <w:tab w:val="left" w:pos="397"/>
          <w:tab w:val="left" w:pos="709"/>
        </w:tabs>
        <w:ind w:left="709"/>
        <w:jc w:val="both"/>
        <w:rPr>
          <w:rFonts w:ascii="Times" w:hAnsi="Times"/>
          <w:noProof/>
        </w:rPr>
      </w:pPr>
      <w:r>
        <w:rPr>
          <w:rFonts w:ascii="Times" w:hAnsi="Times"/>
          <w:noProof/>
        </w:rPr>
        <w:t>Á tímabilinu frá og með 15. apríl til og með 31. október skal eftirvagn I sem gerður er fyrir meiri hraða en 30 km/klst, búinn hjólbörðum með a.m.k. 1,6 mm mynstursdýpt. Á tímabilinu frá og með 1. nóvember til og með 14. apríl skal eftirvagn I sem gerður er fyrir meiri hraða en 30 km/klst, búinn hjólbörðum með a.m.k. 3,0 mm mynstursdýpt.</w:t>
      </w:r>
    </w:p>
    <w:p w:rsidR="008F692C" w:rsidRPr="00C704E7" w:rsidRDefault="008F692C" w:rsidP="008F692C">
      <w:pPr>
        <w:tabs>
          <w:tab w:val="left" w:pos="397"/>
          <w:tab w:val="left" w:pos="709"/>
        </w:tabs>
        <w:ind w:firstLine="397"/>
        <w:jc w:val="both"/>
        <w:rPr>
          <w:rFonts w:ascii="Times" w:hAnsi="Times"/>
          <w:noProof/>
          <w:sz w:val="10"/>
          <w:szCs w:val="10"/>
        </w:rPr>
      </w:pPr>
    </w:p>
    <w:p w:rsidR="008F692C" w:rsidRDefault="008F692C" w:rsidP="008F692C">
      <w:pPr>
        <w:tabs>
          <w:tab w:val="left" w:pos="397"/>
          <w:tab w:val="left" w:pos="709"/>
        </w:tabs>
        <w:ind w:firstLine="397"/>
        <w:jc w:val="both"/>
        <w:rPr>
          <w:rFonts w:ascii="Times" w:hAnsi="Times"/>
          <w:noProof/>
        </w:rPr>
      </w:pPr>
      <w:r>
        <w:rPr>
          <w:rFonts w:ascii="Times" w:hAnsi="Times"/>
          <w:noProof/>
        </w:rPr>
        <w:t>j.   Ákvæði 16.53 (1) skal orðast svo:</w:t>
      </w:r>
    </w:p>
    <w:p w:rsidR="008F692C" w:rsidRPr="00395C86" w:rsidRDefault="008F692C" w:rsidP="008F692C">
      <w:pPr>
        <w:tabs>
          <w:tab w:val="left" w:pos="397"/>
          <w:tab w:val="left" w:pos="709"/>
        </w:tabs>
        <w:ind w:firstLine="397"/>
        <w:jc w:val="both"/>
        <w:rPr>
          <w:rFonts w:ascii="Times" w:hAnsi="Times"/>
          <w:noProof/>
          <w:sz w:val="2"/>
          <w:szCs w:val="10"/>
        </w:rPr>
      </w:pPr>
    </w:p>
    <w:p w:rsidR="008F692C" w:rsidRDefault="008F692C" w:rsidP="008F692C">
      <w:pPr>
        <w:tabs>
          <w:tab w:val="left" w:pos="397"/>
          <w:tab w:val="left" w:pos="567"/>
        </w:tabs>
        <w:ind w:left="709"/>
        <w:jc w:val="both"/>
        <w:rPr>
          <w:rFonts w:ascii="Times" w:hAnsi="Times"/>
          <w:noProof/>
        </w:rPr>
      </w:pPr>
      <w:r>
        <w:rPr>
          <w:rFonts w:ascii="Times" w:hAnsi="Times"/>
          <w:noProof/>
        </w:rPr>
        <w:t xml:space="preserve">Á tímabilinu frá og með 15. apríl til og með 31. október skal eftirvagn III sem gerður er fyrir meiri hraða en 30 km/klst, búinn hjólbörðum með a.m.k. 1,6 mm mynstursdýpt. Á tímabilinu frá og með 1. nóvember til og með 14. apríl skal eftirvagn </w:t>
      </w:r>
      <w:r>
        <w:rPr>
          <w:rFonts w:ascii="Times" w:hAnsi="Times"/>
          <w:noProof/>
        </w:rPr>
        <w:lastRenderedPageBreak/>
        <w:t>III sem gerður er fyrir meiri hraða en 30 km/klst, búinn hjólbörðum með a.m.k. 3,0 mm mynstursdýpt.</w:t>
      </w:r>
    </w:p>
    <w:p w:rsidR="008F692C" w:rsidRPr="00C704E7" w:rsidRDefault="008F692C" w:rsidP="008F692C">
      <w:pPr>
        <w:tabs>
          <w:tab w:val="left" w:pos="397"/>
          <w:tab w:val="left" w:pos="567"/>
        </w:tabs>
        <w:jc w:val="both"/>
        <w:rPr>
          <w:rFonts w:ascii="Times" w:hAnsi="Times"/>
          <w:noProof/>
          <w:sz w:val="10"/>
          <w:szCs w:val="10"/>
        </w:rPr>
      </w:pPr>
    </w:p>
    <w:p w:rsidR="008F692C" w:rsidRDefault="008F692C" w:rsidP="008F692C">
      <w:pPr>
        <w:tabs>
          <w:tab w:val="left" w:pos="397"/>
          <w:tab w:val="left" w:pos="709"/>
        </w:tabs>
        <w:ind w:firstLine="397"/>
        <w:jc w:val="both"/>
        <w:rPr>
          <w:rFonts w:ascii="Times" w:hAnsi="Times"/>
          <w:noProof/>
        </w:rPr>
      </w:pPr>
      <w:r>
        <w:rPr>
          <w:rFonts w:ascii="Times" w:hAnsi="Times"/>
          <w:noProof/>
        </w:rPr>
        <w:t>k.  Ákvæði 16.102 (3) skal orðast svo:</w:t>
      </w:r>
    </w:p>
    <w:p w:rsidR="008F692C" w:rsidRPr="00395C86" w:rsidRDefault="008F692C" w:rsidP="008F692C">
      <w:pPr>
        <w:tabs>
          <w:tab w:val="left" w:pos="397"/>
          <w:tab w:val="left" w:pos="709"/>
        </w:tabs>
        <w:ind w:firstLine="397"/>
        <w:jc w:val="both"/>
        <w:rPr>
          <w:rFonts w:ascii="Times" w:hAnsi="Times"/>
          <w:noProof/>
          <w:sz w:val="2"/>
          <w:szCs w:val="10"/>
        </w:rPr>
      </w:pPr>
    </w:p>
    <w:p w:rsidR="008F692C" w:rsidRDefault="008F692C" w:rsidP="008F692C">
      <w:pPr>
        <w:tabs>
          <w:tab w:val="left" w:pos="397"/>
          <w:tab w:val="left" w:pos="567"/>
        </w:tabs>
        <w:ind w:left="709"/>
        <w:jc w:val="both"/>
        <w:rPr>
          <w:rFonts w:ascii="Times" w:hAnsi="Times"/>
          <w:noProof/>
        </w:rPr>
      </w:pPr>
      <w:r>
        <w:rPr>
          <w:rFonts w:ascii="Times" w:hAnsi="Times"/>
          <w:noProof/>
        </w:rPr>
        <w:t>Á tímabilinu frá og með 15. apríl til og með 31. október skal bifreið til neyðaraksturs búin hjólbörðum með a.m.k. 2,0 mm mynstursdýpt. Á tímabilinu frá og með 1. nóvember til og með 14. apríl skal bifreið til neyðaraksturs búin hjólbörðum með a.m.k. 4,0 mm mynstursdýpt.</w:t>
      </w:r>
    </w:p>
    <w:p w:rsidR="008F692C" w:rsidRPr="00AF28AB" w:rsidRDefault="008F692C" w:rsidP="008F692C">
      <w:pPr>
        <w:ind w:left="360"/>
        <w:rPr>
          <w:sz w:val="20"/>
        </w:rPr>
      </w:pPr>
    </w:p>
    <w:p w:rsidR="008F692C" w:rsidRPr="00395C86" w:rsidRDefault="008F692C" w:rsidP="008F692C">
      <w:pPr>
        <w:numPr>
          <w:ilvl w:val="0"/>
          <w:numId w:val="1"/>
        </w:numPr>
        <w:jc w:val="center"/>
        <w:rPr>
          <w:b/>
        </w:rPr>
      </w:pPr>
      <w:r>
        <w:rPr>
          <w:b/>
        </w:rPr>
        <w:t>gr.</w:t>
      </w:r>
    </w:p>
    <w:p w:rsidR="008F692C" w:rsidRPr="00395C86" w:rsidRDefault="008F692C" w:rsidP="008F692C">
      <w:r w:rsidRPr="00395C86">
        <w:t>21. gr. breytist þannig:</w:t>
      </w:r>
    </w:p>
    <w:p w:rsidR="008F692C" w:rsidRDefault="008F692C" w:rsidP="008F692C">
      <w:r w:rsidRPr="00395C86">
        <w:t>Ákvæði 21.11 (2) skal orðast svo:</w:t>
      </w:r>
    </w:p>
    <w:p w:rsidR="008F692C" w:rsidRPr="00395C86" w:rsidRDefault="008F692C" w:rsidP="008F692C">
      <w:pPr>
        <w:rPr>
          <w:sz w:val="10"/>
          <w:szCs w:val="10"/>
        </w:rPr>
      </w:pPr>
    </w:p>
    <w:p w:rsidR="008F692C" w:rsidRDefault="008F692C" w:rsidP="008F692C">
      <w:pPr>
        <w:jc w:val="both"/>
      </w:pPr>
      <w:r w:rsidRPr="00395C86">
        <w:t>Þyngd dráttarbeislis á tengibúnað fólksbifreiðar telst innan marka ef uppfyllt eru ákvæði EBE-tilskipunar nr. 92/21 eða EB-reglugerðar nr. 661/2009 og ESB-reglugerðar nr. 1230/2012, með síðari breytingum.</w:t>
      </w:r>
    </w:p>
    <w:p w:rsidR="008F692C" w:rsidRPr="00AF28AB" w:rsidRDefault="008F692C" w:rsidP="008F692C">
      <w:pPr>
        <w:rPr>
          <w:b/>
          <w:sz w:val="20"/>
        </w:rPr>
      </w:pPr>
    </w:p>
    <w:p w:rsidR="008F692C" w:rsidRDefault="008F692C" w:rsidP="008F692C">
      <w:pPr>
        <w:numPr>
          <w:ilvl w:val="0"/>
          <w:numId w:val="1"/>
        </w:numPr>
        <w:jc w:val="center"/>
        <w:rPr>
          <w:b/>
        </w:rPr>
      </w:pPr>
      <w:r>
        <w:rPr>
          <w:b/>
        </w:rPr>
        <w:t>gr.</w:t>
      </w:r>
    </w:p>
    <w:p w:rsidR="008F692C" w:rsidRDefault="008F692C" w:rsidP="008F692C">
      <w:pPr>
        <w:tabs>
          <w:tab w:val="left" w:pos="397"/>
          <w:tab w:val="left" w:pos="709"/>
        </w:tabs>
        <w:jc w:val="both"/>
        <w:rPr>
          <w:rFonts w:ascii="Times" w:hAnsi="Times"/>
          <w:noProof/>
        </w:rPr>
      </w:pPr>
      <w:r>
        <w:rPr>
          <w:rFonts w:ascii="Times" w:hAnsi="Times"/>
          <w:noProof/>
        </w:rPr>
        <w:t>22. gr. breytist þannig:</w:t>
      </w:r>
    </w:p>
    <w:p w:rsidR="008F692C" w:rsidRPr="005F5CD1" w:rsidRDefault="008F692C" w:rsidP="008F692C">
      <w:pPr>
        <w:tabs>
          <w:tab w:val="left" w:pos="397"/>
          <w:tab w:val="left" w:pos="709"/>
        </w:tabs>
        <w:ind w:firstLine="397"/>
        <w:jc w:val="both"/>
        <w:rPr>
          <w:rFonts w:ascii="Times" w:hAnsi="Times"/>
          <w:noProof/>
        </w:rPr>
      </w:pPr>
      <w:r>
        <w:rPr>
          <w:rFonts w:ascii="Times" w:hAnsi="Times"/>
          <w:noProof/>
        </w:rPr>
        <w:t>a.</w:t>
      </w:r>
      <w:r>
        <w:rPr>
          <w:rFonts w:ascii="Times" w:hAnsi="Times"/>
          <w:noProof/>
        </w:rPr>
        <w:tab/>
        <w:t>Síðari málsliður á</w:t>
      </w:r>
      <w:r w:rsidRPr="005F5CD1">
        <w:rPr>
          <w:rFonts w:ascii="Times" w:hAnsi="Times"/>
          <w:noProof/>
        </w:rPr>
        <w:t>kvæði</w:t>
      </w:r>
      <w:r>
        <w:rPr>
          <w:rFonts w:ascii="Times" w:hAnsi="Times"/>
          <w:noProof/>
        </w:rPr>
        <w:t>s</w:t>
      </w:r>
      <w:r w:rsidRPr="005F5CD1">
        <w:rPr>
          <w:rFonts w:ascii="Times" w:hAnsi="Times"/>
          <w:noProof/>
        </w:rPr>
        <w:t xml:space="preserve"> </w:t>
      </w:r>
      <w:r>
        <w:rPr>
          <w:rFonts w:ascii="Times" w:hAnsi="Times"/>
          <w:noProof/>
        </w:rPr>
        <w:t>22</w:t>
      </w:r>
      <w:r w:rsidRPr="005F5CD1">
        <w:rPr>
          <w:rFonts w:ascii="Times" w:hAnsi="Times"/>
          <w:noProof/>
        </w:rPr>
        <w:t>.11</w:t>
      </w:r>
      <w:r>
        <w:rPr>
          <w:rFonts w:ascii="Times" w:hAnsi="Times"/>
          <w:noProof/>
        </w:rPr>
        <w:t xml:space="preserve"> (3</w:t>
      </w:r>
      <w:r w:rsidRPr="005F5CD1">
        <w:rPr>
          <w:rFonts w:ascii="Times" w:hAnsi="Times"/>
          <w:noProof/>
        </w:rPr>
        <w:t>) skal orðast svo:</w:t>
      </w:r>
    </w:p>
    <w:p w:rsidR="008F692C" w:rsidRPr="005F5CD1" w:rsidRDefault="008F692C" w:rsidP="008F692C">
      <w:pPr>
        <w:tabs>
          <w:tab w:val="left" w:pos="397"/>
          <w:tab w:val="left" w:pos="709"/>
        </w:tabs>
        <w:ind w:firstLine="397"/>
        <w:jc w:val="both"/>
        <w:rPr>
          <w:rFonts w:ascii="Times" w:hAnsi="Times"/>
          <w:noProof/>
          <w:sz w:val="2"/>
          <w:szCs w:val="2"/>
        </w:rPr>
      </w:pPr>
    </w:p>
    <w:p w:rsidR="008F692C" w:rsidRPr="005F5CD1" w:rsidRDefault="008F692C" w:rsidP="008F692C">
      <w:pPr>
        <w:tabs>
          <w:tab w:val="left" w:pos="709"/>
        </w:tabs>
        <w:ind w:left="709"/>
        <w:jc w:val="both"/>
        <w:rPr>
          <w:rFonts w:ascii="Times" w:hAnsi="Times"/>
          <w:noProof/>
        </w:rPr>
      </w:pPr>
      <w:r w:rsidRPr="005F5CD1">
        <w:rPr>
          <w:rFonts w:ascii="Times" w:hAnsi="Times"/>
          <w:noProof/>
        </w:rPr>
        <w:t>Þyngd og stærð fólksbifreiðar telst innan marka ef uppfyllt eru ákvæði EBE-tilskipunar nr. 92/21 eða EB-reglugerðar nr. 661/2009 og ESB-reglugerðar nr. 1230/2012, með síðari breytingum.</w:t>
      </w:r>
    </w:p>
    <w:p w:rsidR="008F692C" w:rsidRPr="005F5CD1" w:rsidRDefault="008F692C" w:rsidP="008F692C">
      <w:pPr>
        <w:tabs>
          <w:tab w:val="left" w:pos="397"/>
          <w:tab w:val="left" w:pos="709"/>
        </w:tabs>
        <w:ind w:firstLine="397"/>
        <w:jc w:val="both"/>
        <w:rPr>
          <w:rFonts w:ascii="Times" w:hAnsi="Times"/>
          <w:noProof/>
          <w:sz w:val="10"/>
          <w:szCs w:val="10"/>
        </w:rPr>
      </w:pPr>
    </w:p>
    <w:p w:rsidR="008F692C" w:rsidRPr="005F5CD1" w:rsidRDefault="008F692C" w:rsidP="008F692C">
      <w:pPr>
        <w:tabs>
          <w:tab w:val="left" w:pos="397"/>
          <w:tab w:val="left" w:pos="709"/>
        </w:tabs>
        <w:ind w:firstLine="397"/>
        <w:jc w:val="both"/>
        <w:rPr>
          <w:rFonts w:ascii="Times" w:hAnsi="Times"/>
          <w:noProof/>
        </w:rPr>
      </w:pPr>
      <w:r>
        <w:rPr>
          <w:rFonts w:ascii="Times" w:hAnsi="Times"/>
          <w:noProof/>
        </w:rPr>
        <w:t>b.</w:t>
      </w:r>
      <w:r>
        <w:rPr>
          <w:rFonts w:ascii="Times" w:hAnsi="Times"/>
          <w:noProof/>
        </w:rPr>
        <w:tab/>
        <w:t>Síðari málsliður á</w:t>
      </w:r>
      <w:r w:rsidRPr="005F5CD1">
        <w:rPr>
          <w:rFonts w:ascii="Times" w:hAnsi="Times"/>
          <w:noProof/>
        </w:rPr>
        <w:t>kvæði</w:t>
      </w:r>
      <w:r>
        <w:rPr>
          <w:rFonts w:ascii="Times" w:hAnsi="Times"/>
          <w:noProof/>
        </w:rPr>
        <w:t>s</w:t>
      </w:r>
      <w:r w:rsidRPr="005F5CD1">
        <w:rPr>
          <w:rFonts w:ascii="Times" w:hAnsi="Times"/>
          <w:noProof/>
        </w:rPr>
        <w:t xml:space="preserve"> </w:t>
      </w:r>
      <w:r>
        <w:rPr>
          <w:rFonts w:ascii="Times" w:hAnsi="Times"/>
          <w:noProof/>
        </w:rPr>
        <w:t>22.12 (7</w:t>
      </w:r>
      <w:r w:rsidRPr="005F5CD1">
        <w:rPr>
          <w:rFonts w:ascii="Times" w:hAnsi="Times"/>
          <w:noProof/>
        </w:rPr>
        <w:t>) skal orðast svo:</w:t>
      </w:r>
    </w:p>
    <w:p w:rsidR="008F692C" w:rsidRPr="005F5CD1" w:rsidRDefault="008F692C" w:rsidP="008F692C">
      <w:pPr>
        <w:tabs>
          <w:tab w:val="left" w:pos="397"/>
          <w:tab w:val="left" w:pos="709"/>
        </w:tabs>
        <w:ind w:firstLine="397"/>
        <w:jc w:val="both"/>
        <w:rPr>
          <w:rFonts w:ascii="Times" w:hAnsi="Times"/>
          <w:noProof/>
          <w:sz w:val="2"/>
          <w:szCs w:val="2"/>
        </w:rPr>
      </w:pPr>
    </w:p>
    <w:p w:rsidR="008F692C" w:rsidRPr="005F5CD1" w:rsidRDefault="008F692C" w:rsidP="008F692C">
      <w:pPr>
        <w:tabs>
          <w:tab w:val="left" w:pos="709"/>
        </w:tabs>
        <w:ind w:left="709"/>
        <w:jc w:val="both"/>
        <w:rPr>
          <w:rFonts w:ascii="Times" w:hAnsi="Times"/>
          <w:noProof/>
        </w:rPr>
      </w:pPr>
      <w:r w:rsidRPr="005F5CD1">
        <w:rPr>
          <w:rFonts w:ascii="Times" w:hAnsi="Times"/>
          <w:noProof/>
        </w:rPr>
        <w:t xml:space="preserve">Þyngd og stærð </w:t>
      </w:r>
      <w:r>
        <w:rPr>
          <w:rFonts w:ascii="Times" w:hAnsi="Times"/>
          <w:noProof/>
        </w:rPr>
        <w:t>hópbifreiðar</w:t>
      </w:r>
      <w:r w:rsidRPr="005F5CD1">
        <w:rPr>
          <w:rFonts w:ascii="Times" w:hAnsi="Times"/>
          <w:noProof/>
        </w:rPr>
        <w:t xml:space="preserve"> telst innan marka ef uppfyllt eru ákvæði EBE-tilskipunar nr. </w:t>
      </w:r>
      <w:r>
        <w:rPr>
          <w:rFonts w:ascii="Times" w:hAnsi="Times"/>
          <w:noProof/>
        </w:rPr>
        <w:t>97/27</w:t>
      </w:r>
      <w:r w:rsidRPr="005F5CD1">
        <w:rPr>
          <w:rFonts w:ascii="Times" w:hAnsi="Times"/>
          <w:noProof/>
        </w:rPr>
        <w:t xml:space="preserve"> eða EB-reglugerðar nr. 661/2009 og ESB-reglugerðar nr. 1230/2012, með síðari breytingum.</w:t>
      </w:r>
    </w:p>
    <w:p w:rsidR="008F692C" w:rsidRPr="005F5CD1" w:rsidRDefault="008F692C" w:rsidP="008F692C">
      <w:pPr>
        <w:tabs>
          <w:tab w:val="left" w:pos="397"/>
          <w:tab w:val="left" w:pos="709"/>
        </w:tabs>
        <w:ind w:firstLine="397"/>
        <w:jc w:val="both"/>
        <w:rPr>
          <w:rFonts w:ascii="Times" w:hAnsi="Times"/>
          <w:noProof/>
          <w:sz w:val="10"/>
          <w:szCs w:val="10"/>
        </w:rPr>
      </w:pPr>
    </w:p>
    <w:p w:rsidR="008F692C" w:rsidRPr="005F5CD1" w:rsidRDefault="008F692C" w:rsidP="008F692C">
      <w:pPr>
        <w:tabs>
          <w:tab w:val="left" w:pos="397"/>
          <w:tab w:val="left" w:pos="709"/>
        </w:tabs>
        <w:ind w:firstLine="397"/>
        <w:jc w:val="both"/>
        <w:rPr>
          <w:rFonts w:ascii="Times" w:hAnsi="Times"/>
          <w:noProof/>
        </w:rPr>
      </w:pPr>
      <w:r>
        <w:rPr>
          <w:rFonts w:ascii="Times" w:hAnsi="Times"/>
          <w:noProof/>
        </w:rPr>
        <w:t>c.  Ákvæði 22.13 (4)</w:t>
      </w:r>
      <w:r w:rsidRPr="005F5CD1">
        <w:rPr>
          <w:rFonts w:ascii="Times" w:hAnsi="Times"/>
          <w:noProof/>
        </w:rPr>
        <w:t xml:space="preserve"> skal orðast svo:</w:t>
      </w:r>
    </w:p>
    <w:p w:rsidR="008F692C" w:rsidRPr="005F5CD1" w:rsidRDefault="008F692C" w:rsidP="008F692C">
      <w:pPr>
        <w:tabs>
          <w:tab w:val="left" w:pos="397"/>
          <w:tab w:val="left" w:pos="709"/>
        </w:tabs>
        <w:ind w:firstLine="397"/>
        <w:jc w:val="both"/>
        <w:rPr>
          <w:rFonts w:ascii="Times" w:hAnsi="Times"/>
          <w:noProof/>
          <w:sz w:val="2"/>
          <w:szCs w:val="2"/>
        </w:rPr>
      </w:pPr>
    </w:p>
    <w:p w:rsidR="008F692C" w:rsidRPr="005F5CD1" w:rsidRDefault="008F692C" w:rsidP="008F692C">
      <w:pPr>
        <w:tabs>
          <w:tab w:val="left" w:pos="709"/>
        </w:tabs>
        <w:ind w:left="709"/>
        <w:jc w:val="both"/>
        <w:rPr>
          <w:rFonts w:ascii="Times" w:hAnsi="Times"/>
          <w:noProof/>
        </w:rPr>
      </w:pPr>
      <w:r w:rsidRPr="005F5CD1">
        <w:rPr>
          <w:rFonts w:ascii="Times" w:hAnsi="Times"/>
          <w:noProof/>
        </w:rPr>
        <w:t xml:space="preserve">Þyngd og stærð </w:t>
      </w:r>
      <w:r>
        <w:rPr>
          <w:rFonts w:ascii="Times" w:hAnsi="Times"/>
          <w:noProof/>
        </w:rPr>
        <w:t>sendibifreiðar</w:t>
      </w:r>
      <w:r w:rsidRPr="005F5CD1">
        <w:rPr>
          <w:rFonts w:ascii="Times" w:hAnsi="Times"/>
          <w:noProof/>
        </w:rPr>
        <w:t xml:space="preserve"> telst innan marka ef uppfyllt eru ákvæði EBE-tilskipunar nr. </w:t>
      </w:r>
      <w:r>
        <w:rPr>
          <w:rFonts w:ascii="Times" w:hAnsi="Times"/>
          <w:noProof/>
        </w:rPr>
        <w:t>97/27</w:t>
      </w:r>
      <w:r w:rsidRPr="005F5CD1">
        <w:rPr>
          <w:rFonts w:ascii="Times" w:hAnsi="Times"/>
          <w:noProof/>
        </w:rPr>
        <w:t xml:space="preserve"> eða EB-reglugerðar nr. 661/2009 og ESB-reglugerðar nr. 1230/2012, með síðari breytingum.</w:t>
      </w:r>
    </w:p>
    <w:p w:rsidR="008F692C" w:rsidRPr="005F5CD1" w:rsidRDefault="008F692C" w:rsidP="008F692C">
      <w:pPr>
        <w:tabs>
          <w:tab w:val="left" w:pos="397"/>
          <w:tab w:val="left" w:pos="709"/>
        </w:tabs>
        <w:ind w:firstLine="397"/>
        <w:jc w:val="both"/>
        <w:rPr>
          <w:rFonts w:ascii="Times" w:hAnsi="Times"/>
          <w:noProof/>
          <w:sz w:val="10"/>
          <w:szCs w:val="10"/>
        </w:rPr>
      </w:pPr>
    </w:p>
    <w:p w:rsidR="008F692C" w:rsidRPr="005F5CD1" w:rsidRDefault="008F692C" w:rsidP="008F692C">
      <w:pPr>
        <w:tabs>
          <w:tab w:val="left" w:pos="397"/>
          <w:tab w:val="left" w:pos="709"/>
        </w:tabs>
        <w:ind w:firstLine="397"/>
        <w:jc w:val="both"/>
        <w:rPr>
          <w:rFonts w:ascii="Times" w:hAnsi="Times"/>
          <w:noProof/>
        </w:rPr>
      </w:pPr>
      <w:r>
        <w:rPr>
          <w:rFonts w:ascii="Times" w:hAnsi="Times"/>
          <w:noProof/>
        </w:rPr>
        <w:t>d.</w:t>
      </w:r>
      <w:r>
        <w:rPr>
          <w:rFonts w:ascii="Times" w:hAnsi="Times"/>
          <w:noProof/>
        </w:rPr>
        <w:tab/>
        <w:t>Síðari málsliður á</w:t>
      </w:r>
      <w:r w:rsidRPr="005F5CD1">
        <w:rPr>
          <w:rFonts w:ascii="Times" w:hAnsi="Times"/>
          <w:noProof/>
        </w:rPr>
        <w:t>kvæði</w:t>
      </w:r>
      <w:r>
        <w:rPr>
          <w:rFonts w:ascii="Times" w:hAnsi="Times"/>
          <w:noProof/>
        </w:rPr>
        <w:t>s</w:t>
      </w:r>
      <w:r w:rsidRPr="005F5CD1">
        <w:rPr>
          <w:rFonts w:ascii="Times" w:hAnsi="Times"/>
          <w:noProof/>
        </w:rPr>
        <w:t xml:space="preserve"> </w:t>
      </w:r>
      <w:r>
        <w:rPr>
          <w:rFonts w:ascii="Times" w:hAnsi="Times"/>
          <w:noProof/>
        </w:rPr>
        <w:t>22.14 (3</w:t>
      </w:r>
      <w:r w:rsidRPr="005F5CD1">
        <w:rPr>
          <w:rFonts w:ascii="Times" w:hAnsi="Times"/>
          <w:noProof/>
        </w:rPr>
        <w:t>) skal orðast svo:</w:t>
      </w:r>
    </w:p>
    <w:p w:rsidR="008F692C" w:rsidRPr="005F5CD1" w:rsidRDefault="008F692C" w:rsidP="008F692C">
      <w:pPr>
        <w:tabs>
          <w:tab w:val="left" w:pos="397"/>
          <w:tab w:val="left" w:pos="709"/>
        </w:tabs>
        <w:ind w:firstLine="397"/>
        <w:jc w:val="both"/>
        <w:rPr>
          <w:rFonts w:ascii="Times" w:hAnsi="Times"/>
          <w:noProof/>
          <w:sz w:val="2"/>
          <w:szCs w:val="2"/>
        </w:rPr>
      </w:pPr>
    </w:p>
    <w:p w:rsidR="008F692C" w:rsidRPr="005F5CD1" w:rsidRDefault="008F692C" w:rsidP="008F692C">
      <w:pPr>
        <w:tabs>
          <w:tab w:val="left" w:pos="709"/>
        </w:tabs>
        <w:ind w:left="709"/>
        <w:jc w:val="both"/>
        <w:rPr>
          <w:rFonts w:ascii="Times" w:hAnsi="Times"/>
          <w:noProof/>
        </w:rPr>
      </w:pPr>
      <w:r w:rsidRPr="005F5CD1">
        <w:rPr>
          <w:rFonts w:ascii="Times" w:hAnsi="Times"/>
          <w:noProof/>
        </w:rPr>
        <w:t xml:space="preserve">Þyngd og stærð </w:t>
      </w:r>
      <w:r>
        <w:rPr>
          <w:rFonts w:ascii="Times" w:hAnsi="Times"/>
          <w:noProof/>
        </w:rPr>
        <w:t>vörubifreiðar</w:t>
      </w:r>
      <w:r w:rsidRPr="005F5CD1">
        <w:rPr>
          <w:rFonts w:ascii="Times" w:hAnsi="Times"/>
          <w:noProof/>
        </w:rPr>
        <w:t xml:space="preserve"> telst innan marka ef uppfyllt eru ákvæði EBE-tilskipunar nr. </w:t>
      </w:r>
      <w:r>
        <w:rPr>
          <w:rFonts w:ascii="Times" w:hAnsi="Times"/>
          <w:noProof/>
        </w:rPr>
        <w:t>97/27</w:t>
      </w:r>
      <w:r w:rsidRPr="005F5CD1">
        <w:rPr>
          <w:rFonts w:ascii="Times" w:hAnsi="Times"/>
          <w:noProof/>
        </w:rPr>
        <w:t xml:space="preserve"> eða EB-reglugerðar nr. 661/2009 og ESB-reglugerðar nr. 1230/2012, með síðari breytingum.</w:t>
      </w:r>
    </w:p>
    <w:p w:rsidR="008F692C" w:rsidRDefault="008F692C" w:rsidP="008F692C">
      <w:pPr>
        <w:tabs>
          <w:tab w:val="left" w:pos="397"/>
          <w:tab w:val="left" w:pos="709"/>
        </w:tabs>
        <w:ind w:firstLine="397"/>
        <w:jc w:val="both"/>
        <w:rPr>
          <w:rFonts w:ascii="Times" w:hAnsi="Times"/>
          <w:noProof/>
        </w:rPr>
      </w:pPr>
    </w:p>
    <w:p w:rsidR="008F692C" w:rsidRPr="005F5CD1" w:rsidRDefault="008F692C" w:rsidP="008F692C">
      <w:pPr>
        <w:tabs>
          <w:tab w:val="left" w:pos="397"/>
          <w:tab w:val="left" w:pos="709"/>
        </w:tabs>
        <w:ind w:firstLine="397"/>
        <w:jc w:val="both"/>
        <w:rPr>
          <w:rFonts w:ascii="Times" w:hAnsi="Times"/>
          <w:noProof/>
        </w:rPr>
      </w:pPr>
      <w:r>
        <w:rPr>
          <w:rFonts w:ascii="Times" w:hAnsi="Times"/>
          <w:noProof/>
        </w:rPr>
        <w:t>e.</w:t>
      </w:r>
      <w:r>
        <w:rPr>
          <w:rFonts w:ascii="Times" w:hAnsi="Times"/>
          <w:noProof/>
        </w:rPr>
        <w:tab/>
        <w:t>Ákvæði 22.50 (3)</w:t>
      </w:r>
      <w:r w:rsidRPr="005F5CD1">
        <w:rPr>
          <w:rFonts w:ascii="Times" w:hAnsi="Times"/>
          <w:noProof/>
        </w:rPr>
        <w:t xml:space="preserve"> skal orðast svo:</w:t>
      </w:r>
    </w:p>
    <w:p w:rsidR="008F692C" w:rsidRPr="005F5CD1" w:rsidRDefault="008F692C" w:rsidP="008F692C">
      <w:pPr>
        <w:tabs>
          <w:tab w:val="left" w:pos="397"/>
          <w:tab w:val="left" w:pos="709"/>
        </w:tabs>
        <w:ind w:firstLine="397"/>
        <w:jc w:val="both"/>
        <w:rPr>
          <w:rFonts w:ascii="Times" w:hAnsi="Times"/>
          <w:noProof/>
          <w:sz w:val="2"/>
          <w:szCs w:val="2"/>
        </w:rPr>
      </w:pPr>
    </w:p>
    <w:p w:rsidR="008F692C" w:rsidRPr="005F5CD1" w:rsidRDefault="008F692C" w:rsidP="008F692C">
      <w:pPr>
        <w:tabs>
          <w:tab w:val="left" w:pos="709"/>
        </w:tabs>
        <w:ind w:left="709"/>
        <w:jc w:val="both"/>
        <w:rPr>
          <w:rFonts w:ascii="Times" w:hAnsi="Times"/>
          <w:noProof/>
        </w:rPr>
      </w:pPr>
      <w:r w:rsidRPr="005F5CD1">
        <w:rPr>
          <w:rFonts w:ascii="Times" w:hAnsi="Times"/>
          <w:noProof/>
        </w:rPr>
        <w:t xml:space="preserve">Þyngd og stærð </w:t>
      </w:r>
      <w:r>
        <w:rPr>
          <w:rFonts w:ascii="Times" w:hAnsi="Times"/>
          <w:noProof/>
        </w:rPr>
        <w:t>eftirvagns</w:t>
      </w:r>
      <w:r w:rsidRPr="005F5CD1">
        <w:rPr>
          <w:rFonts w:ascii="Times" w:hAnsi="Times"/>
          <w:noProof/>
        </w:rPr>
        <w:t xml:space="preserve"> telst innan marka ef uppfyllt eru ákvæði EBE-tilskipunar nr. </w:t>
      </w:r>
      <w:r>
        <w:rPr>
          <w:rFonts w:ascii="Times" w:hAnsi="Times"/>
          <w:noProof/>
        </w:rPr>
        <w:t>97/27</w:t>
      </w:r>
      <w:r w:rsidRPr="005F5CD1">
        <w:rPr>
          <w:rFonts w:ascii="Times" w:hAnsi="Times"/>
          <w:noProof/>
        </w:rPr>
        <w:t xml:space="preserve"> eða EB-reglugerðar nr. 661/2009 og ESB-reglugerðar nr. 1230/2012, með síðari breytingum.</w:t>
      </w:r>
    </w:p>
    <w:p w:rsidR="008F692C" w:rsidRPr="00AF28AB" w:rsidRDefault="008F692C" w:rsidP="008F692C">
      <w:pPr>
        <w:rPr>
          <w:b/>
          <w:sz w:val="20"/>
        </w:rPr>
      </w:pPr>
    </w:p>
    <w:p w:rsidR="008F692C" w:rsidRDefault="008F692C" w:rsidP="008F692C">
      <w:pPr>
        <w:numPr>
          <w:ilvl w:val="0"/>
          <w:numId w:val="1"/>
        </w:numPr>
        <w:jc w:val="center"/>
        <w:rPr>
          <w:b/>
        </w:rPr>
      </w:pPr>
      <w:r>
        <w:rPr>
          <w:b/>
        </w:rPr>
        <w:t>gr.</w:t>
      </w:r>
    </w:p>
    <w:p w:rsidR="008F692C" w:rsidRDefault="008F692C" w:rsidP="008F692C">
      <w:pPr>
        <w:jc w:val="both"/>
      </w:pPr>
      <w:r>
        <w:t>Viðauki III breytist þannig:</w:t>
      </w:r>
    </w:p>
    <w:p w:rsidR="008F692C" w:rsidRDefault="008F692C" w:rsidP="008F692C">
      <w:pPr>
        <w:jc w:val="both"/>
      </w:pPr>
      <w:r>
        <w:t>Tafla undir fyrirsögninni „bifreiðar og eftirvagnar“:</w:t>
      </w:r>
    </w:p>
    <w:p w:rsidR="008F692C" w:rsidRPr="007E1C78" w:rsidRDefault="008F692C" w:rsidP="008F692C">
      <w:pPr>
        <w:tabs>
          <w:tab w:val="left" w:pos="397"/>
          <w:tab w:val="right" w:pos="7796"/>
        </w:tabs>
        <w:jc w:val="both"/>
        <w:rPr>
          <w:sz w:val="10"/>
          <w:szCs w:val="10"/>
        </w:rPr>
      </w:pPr>
      <w:r>
        <w:rPr>
          <w:szCs w:val="21"/>
        </w:rPr>
        <w:tab/>
      </w:r>
    </w:p>
    <w:p w:rsidR="008F692C" w:rsidRPr="007E1C78" w:rsidRDefault="008F692C" w:rsidP="008F692C">
      <w:pPr>
        <w:tabs>
          <w:tab w:val="left" w:pos="397"/>
          <w:tab w:val="right" w:pos="7796"/>
        </w:tabs>
        <w:jc w:val="both"/>
        <w:rPr>
          <w:szCs w:val="21"/>
        </w:rPr>
      </w:pPr>
      <w:r>
        <w:rPr>
          <w:szCs w:val="21"/>
        </w:rPr>
        <w:t>Aftast í töfluna, á eftir tölulið 45zzr, kemur nýr töluliður, 45zzu.</w:t>
      </w:r>
      <w:r w:rsidRPr="00180B4B">
        <w:rPr>
          <w:szCs w:val="21"/>
        </w:rPr>
        <w:t xml:space="preserve"> </w:t>
      </w:r>
      <w:r>
        <w:rPr>
          <w:szCs w:val="21"/>
        </w:rPr>
        <w:t xml:space="preserve">Í reitina </w:t>
      </w:r>
    </w:p>
    <w:p w:rsidR="008F692C" w:rsidRPr="00E816BE" w:rsidRDefault="008F692C" w:rsidP="008F692C">
      <w:pPr>
        <w:tabs>
          <w:tab w:val="left" w:pos="397"/>
          <w:tab w:val="right" w:pos="7796"/>
        </w:tabs>
        <w:jc w:val="both"/>
        <w:rPr>
          <w:szCs w:val="21"/>
        </w:rPr>
      </w:pPr>
      <w:r>
        <w:rPr>
          <w:szCs w:val="21"/>
        </w:rPr>
        <w:t>„</w:t>
      </w:r>
      <w:r w:rsidRPr="00E816BE">
        <w:rPr>
          <w:szCs w:val="21"/>
        </w:rPr>
        <w:t>Tölul.</w:t>
      </w:r>
      <w:r>
        <w:rPr>
          <w:szCs w:val="21"/>
        </w:rPr>
        <w:t>“, „</w:t>
      </w:r>
      <w:r w:rsidRPr="00E816BE">
        <w:rPr>
          <w:szCs w:val="21"/>
        </w:rPr>
        <w:t>Tilskipun / reglugerð</w:t>
      </w:r>
      <w:r>
        <w:rPr>
          <w:szCs w:val="21"/>
        </w:rPr>
        <w:t>“,</w:t>
      </w:r>
      <w:r w:rsidRPr="00E816BE">
        <w:rPr>
          <w:szCs w:val="21"/>
        </w:rPr>
        <w:t xml:space="preserve"> „</w:t>
      </w:r>
      <w:r>
        <w:rPr>
          <w:szCs w:val="21"/>
        </w:rPr>
        <w:t>Efnisinnihald“</w:t>
      </w:r>
      <w:r w:rsidRPr="00E816BE">
        <w:rPr>
          <w:szCs w:val="21"/>
        </w:rPr>
        <w:t xml:space="preserve"> </w:t>
      </w:r>
      <w:r>
        <w:rPr>
          <w:szCs w:val="21"/>
        </w:rPr>
        <w:t>og „Reglugerðarákvæði“</w:t>
      </w:r>
      <w:r w:rsidRPr="00E816BE">
        <w:rPr>
          <w:szCs w:val="21"/>
        </w:rPr>
        <w:t xml:space="preserve"> kemur:</w:t>
      </w:r>
    </w:p>
    <w:tbl>
      <w:tblPr>
        <w:tblW w:w="7183"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842"/>
        <w:gridCol w:w="1985"/>
        <w:gridCol w:w="2551"/>
      </w:tblGrid>
      <w:tr w:rsidR="008F692C" w:rsidRPr="007E1C78" w:rsidTr="005743B1">
        <w:tc>
          <w:tcPr>
            <w:tcW w:w="805" w:type="dxa"/>
            <w:tcBorders>
              <w:top w:val="single" w:sz="4" w:space="0" w:color="auto"/>
              <w:left w:val="single" w:sz="4" w:space="0" w:color="auto"/>
              <w:bottom w:val="single" w:sz="4" w:space="0" w:color="auto"/>
              <w:right w:val="single" w:sz="4" w:space="0" w:color="auto"/>
            </w:tcBorders>
          </w:tcPr>
          <w:p w:rsidR="008F692C" w:rsidRPr="007E1C78" w:rsidRDefault="008F692C" w:rsidP="005743B1">
            <w:pPr>
              <w:tabs>
                <w:tab w:val="left" w:pos="397"/>
                <w:tab w:val="left" w:pos="709"/>
              </w:tabs>
              <w:jc w:val="both"/>
              <w:rPr>
                <w:rFonts w:ascii="Times" w:hAnsi="Times"/>
                <w:noProof/>
                <w:szCs w:val="21"/>
              </w:rPr>
            </w:pPr>
            <w:r w:rsidRPr="007E1C78">
              <w:rPr>
                <w:rFonts w:ascii="Times" w:hAnsi="Times"/>
                <w:noProof/>
                <w:szCs w:val="21"/>
              </w:rPr>
              <w:t>45zzu</w:t>
            </w:r>
          </w:p>
        </w:tc>
        <w:tc>
          <w:tcPr>
            <w:tcW w:w="1842" w:type="dxa"/>
            <w:tcBorders>
              <w:top w:val="single" w:sz="4" w:space="0" w:color="auto"/>
              <w:left w:val="single" w:sz="4" w:space="0" w:color="auto"/>
              <w:bottom w:val="single" w:sz="4" w:space="0" w:color="auto"/>
              <w:right w:val="single" w:sz="4" w:space="0" w:color="auto"/>
            </w:tcBorders>
          </w:tcPr>
          <w:p w:rsidR="008F692C" w:rsidRPr="007E1C78" w:rsidRDefault="008F692C" w:rsidP="005743B1">
            <w:pPr>
              <w:tabs>
                <w:tab w:val="left" w:pos="397"/>
                <w:tab w:val="left" w:pos="709"/>
              </w:tabs>
              <w:jc w:val="both"/>
              <w:rPr>
                <w:rFonts w:ascii="Times" w:hAnsi="Times"/>
                <w:noProof/>
                <w:szCs w:val="21"/>
              </w:rPr>
            </w:pPr>
            <w:r w:rsidRPr="007E1C78">
              <w:rPr>
                <w:rFonts w:ascii="Times" w:hAnsi="Times"/>
                <w:noProof/>
                <w:szCs w:val="21"/>
              </w:rPr>
              <w:t>1230/2012/ESB</w:t>
            </w:r>
          </w:p>
        </w:tc>
        <w:tc>
          <w:tcPr>
            <w:tcW w:w="1985" w:type="dxa"/>
            <w:tcBorders>
              <w:top w:val="single" w:sz="4" w:space="0" w:color="auto"/>
              <w:left w:val="single" w:sz="4" w:space="0" w:color="auto"/>
              <w:bottom w:val="single" w:sz="4" w:space="0" w:color="auto"/>
              <w:right w:val="single" w:sz="4" w:space="0" w:color="auto"/>
            </w:tcBorders>
          </w:tcPr>
          <w:p w:rsidR="008F692C" w:rsidRPr="007E1C78" w:rsidRDefault="008F692C" w:rsidP="005743B1">
            <w:pPr>
              <w:tabs>
                <w:tab w:val="left" w:pos="397"/>
                <w:tab w:val="left" w:pos="709"/>
              </w:tabs>
              <w:jc w:val="both"/>
              <w:rPr>
                <w:rFonts w:ascii="Times" w:hAnsi="Times"/>
                <w:noProof/>
                <w:szCs w:val="21"/>
                <w:highlight w:val="yellow"/>
              </w:rPr>
            </w:pPr>
            <w:r>
              <w:rPr>
                <w:rFonts w:ascii="Times" w:hAnsi="Times"/>
                <w:noProof/>
                <w:szCs w:val="21"/>
              </w:rPr>
              <w:t>Stærð og þyngd</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8F692C" w:rsidRPr="007E1C78" w:rsidRDefault="008F692C" w:rsidP="005743B1">
            <w:pPr>
              <w:tabs>
                <w:tab w:val="left" w:pos="397"/>
                <w:tab w:val="left" w:pos="709"/>
              </w:tabs>
              <w:ind w:right="34"/>
              <w:rPr>
                <w:rFonts w:ascii="Times" w:hAnsi="Times"/>
                <w:noProof/>
                <w:szCs w:val="21"/>
              </w:rPr>
            </w:pPr>
            <w:r>
              <w:rPr>
                <w:rFonts w:ascii="Times" w:hAnsi="Times"/>
                <w:noProof/>
                <w:szCs w:val="21"/>
              </w:rPr>
              <w:t>14.11 (2), 21.11 (2), 22.11 (3), 22.12 (7), 22.13 (4), 22.50 (3)</w:t>
            </w:r>
          </w:p>
        </w:tc>
      </w:tr>
    </w:tbl>
    <w:p w:rsidR="008F692C" w:rsidRPr="00AF28AB" w:rsidRDefault="008F692C" w:rsidP="008F692C">
      <w:pPr>
        <w:ind w:left="720"/>
        <w:rPr>
          <w:b/>
          <w:sz w:val="18"/>
        </w:rPr>
      </w:pPr>
    </w:p>
    <w:p w:rsidR="008F692C" w:rsidRDefault="008F692C" w:rsidP="008F692C">
      <w:pPr>
        <w:numPr>
          <w:ilvl w:val="0"/>
          <w:numId w:val="1"/>
        </w:numPr>
        <w:jc w:val="center"/>
        <w:rPr>
          <w:b/>
        </w:rPr>
      </w:pPr>
      <w:r>
        <w:rPr>
          <w:b/>
        </w:rPr>
        <w:lastRenderedPageBreak/>
        <w:t>gr.</w:t>
      </w:r>
    </w:p>
    <w:p w:rsidR="008F692C" w:rsidRDefault="008F692C" w:rsidP="008F692C">
      <w:pPr>
        <w:jc w:val="both"/>
      </w:pPr>
      <w:r>
        <w:t>Viðauki IV breytist þannig:</w:t>
      </w:r>
    </w:p>
    <w:p w:rsidR="008F692C" w:rsidRDefault="008F692C" w:rsidP="008F692C">
      <w:pPr>
        <w:jc w:val="both"/>
      </w:pPr>
      <w:r>
        <w:t>Tafla undir fyrirsögninni „bifreiðar og eftirvagnar“:</w:t>
      </w:r>
    </w:p>
    <w:p w:rsidR="008F692C" w:rsidRDefault="008F692C" w:rsidP="008F692C">
      <w:pPr>
        <w:numPr>
          <w:ilvl w:val="0"/>
          <w:numId w:val="2"/>
        </w:numPr>
        <w:tabs>
          <w:tab w:val="left" w:pos="397"/>
          <w:tab w:val="right" w:pos="7796"/>
        </w:tabs>
        <w:jc w:val="both"/>
        <w:rPr>
          <w:szCs w:val="21"/>
        </w:rPr>
      </w:pPr>
      <w:r>
        <w:rPr>
          <w:szCs w:val="21"/>
        </w:rPr>
        <w:t>Í tölulið 45zu við tilskipun 692/2008/EB á eftir reglugerð 143/2013/ESB (í reitina „síðari viðbætur“, „Stjórnartíðindi EB“ og „EES-birting“), kemur:</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2340"/>
        <w:gridCol w:w="2898"/>
      </w:tblGrid>
      <w:tr w:rsidR="008F692C" w:rsidTr="005743B1">
        <w:tc>
          <w:tcPr>
            <w:tcW w:w="1945" w:type="dxa"/>
            <w:tcBorders>
              <w:top w:val="single" w:sz="4" w:space="0" w:color="auto"/>
              <w:left w:val="single" w:sz="4" w:space="0" w:color="auto"/>
              <w:bottom w:val="single" w:sz="4" w:space="0" w:color="auto"/>
              <w:right w:val="single" w:sz="4" w:space="0" w:color="auto"/>
            </w:tcBorders>
            <w:hideMark/>
          </w:tcPr>
          <w:p w:rsidR="008F692C" w:rsidRDefault="008F692C" w:rsidP="005743B1">
            <w:pPr>
              <w:tabs>
                <w:tab w:val="left" w:pos="397"/>
                <w:tab w:val="left" w:pos="709"/>
              </w:tabs>
              <w:jc w:val="both"/>
              <w:rPr>
                <w:rFonts w:ascii="Times" w:hAnsi="Times"/>
                <w:noProof/>
                <w:sz w:val="21"/>
                <w:szCs w:val="21"/>
                <w:highlight w:val="yellow"/>
              </w:rPr>
            </w:pPr>
            <w:r>
              <w:rPr>
                <w:rFonts w:ascii="Times" w:hAnsi="Times"/>
                <w:noProof/>
                <w:szCs w:val="21"/>
              </w:rPr>
              <w:t>195/2013/ESB</w:t>
            </w:r>
          </w:p>
        </w:tc>
        <w:tc>
          <w:tcPr>
            <w:tcW w:w="2340" w:type="dxa"/>
            <w:tcBorders>
              <w:top w:val="single" w:sz="4" w:space="0" w:color="auto"/>
              <w:left w:val="single" w:sz="4" w:space="0" w:color="auto"/>
              <w:bottom w:val="single" w:sz="4" w:space="0" w:color="auto"/>
              <w:right w:val="single" w:sz="4" w:space="0" w:color="auto"/>
            </w:tcBorders>
            <w:hideMark/>
          </w:tcPr>
          <w:p w:rsidR="008F692C" w:rsidRDefault="008F692C" w:rsidP="005743B1">
            <w:pPr>
              <w:tabs>
                <w:tab w:val="left" w:pos="397"/>
                <w:tab w:val="left" w:pos="709"/>
              </w:tabs>
              <w:jc w:val="both"/>
              <w:rPr>
                <w:rFonts w:ascii="Times" w:hAnsi="Times"/>
                <w:noProof/>
                <w:sz w:val="21"/>
                <w:szCs w:val="21"/>
                <w:highlight w:val="yellow"/>
              </w:rPr>
            </w:pPr>
            <w:r w:rsidRPr="0003144B">
              <w:rPr>
                <w:rFonts w:ascii="Times" w:hAnsi="Times"/>
                <w:noProof/>
                <w:szCs w:val="21"/>
              </w:rPr>
              <w:t>L 65, 8.3.2013</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692C" w:rsidRDefault="008F692C" w:rsidP="005743B1">
            <w:pPr>
              <w:tabs>
                <w:tab w:val="left" w:pos="397"/>
                <w:tab w:val="left" w:pos="709"/>
              </w:tabs>
              <w:rPr>
                <w:rFonts w:ascii="Times" w:hAnsi="Times"/>
                <w:noProof/>
                <w:sz w:val="21"/>
                <w:szCs w:val="21"/>
                <w:highlight w:val="yellow"/>
              </w:rPr>
            </w:pPr>
            <w:r>
              <w:rPr>
                <w:szCs w:val="21"/>
              </w:rPr>
              <w:t>Birt í EES-viðbæti nr. 23, 10.4. 2014, bls. 327.</w:t>
            </w:r>
          </w:p>
        </w:tc>
      </w:tr>
    </w:tbl>
    <w:p w:rsidR="008F692C" w:rsidRDefault="008F692C" w:rsidP="008F692C">
      <w:pPr>
        <w:numPr>
          <w:ilvl w:val="0"/>
          <w:numId w:val="2"/>
        </w:numPr>
        <w:tabs>
          <w:tab w:val="left" w:pos="397"/>
          <w:tab w:val="right" w:pos="7796"/>
        </w:tabs>
        <w:jc w:val="both"/>
        <w:rPr>
          <w:rFonts w:ascii="Times" w:hAnsi="Times"/>
          <w:noProof/>
          <w:sz w:val="21"/>
          <w:szCs w:val="21"/>
        </w:rPr>
      </w:pPr>
      <w:r>
        <w:rPr>
          <w:szCs w:val="21"/>
        </w:rPr>
        <w:t xml:space="preserve">Í tölulið 45zx við tilskipun 2007/46/EB á eftir </w:t>
      </w:r>
      <w:r w:rsidRPr="00180B4B">
        <w:rPr>
          <w:szCs w:val="21"/>
        </w:rPr>
        <w:t xml:space="preserve">reglugerð 143/2013/ESB </w:t>
      </w:r>
      <w:r>
        <w:rPr>
          <w:szCs w:val="21"/>
        </w:rPr>
        <w:t>(í reitina „síðari viðbætur“, „Stjórnartíðindi EB“ og „EES-birting“), kemur:</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2340"/>
        <w:gridCol w:w="2898"/>
      </w:tblGrid>
      <w:tr w:rsidR="008F692C" w:rsidTr="005743B1">
        <w:tc>
          <w:tcPr>
            <w:tcW w:w="1945" w:type="dxa"/>
            <w:tcBorders>
              <w:top w:val="single" w:sz="4" w:space="0" w:color="auto"/>
              <w:left w:val="single" w:sz="4" w:space="0" w:color="auto"/>
              <w:bottom w:val="single" w:sz="4" w:space="0" w:color="auto"/>
              <w:right w:val="single" w:sz="4" w:space="0" w:color="auto"/>
            </w:tcBorders>
          </w:tcPr>
          <w:p w:rsidR="008F692C" w:rsidRPr="00180B4B" w:rsidRDefault="008F692C" w:rsidP="005743B1">
            <w:pPr>
              <w:tabs>
                <w:tab w:val="left" w:pos="397"/>
                <w:tab w:val="left" w:pos="709"/>
              </w:tabs>
              <w:jc w:val="both"/>
              <w:rPr>
                <w:rFonts w:ascii="Times" w:hAnsi="Times"/>
                <w:noProof/>
                <w:szCs w:val="21"/>
                <w:highlight w:val="yellow"/>
              </w:rPr>
            </w:pPr>
            <w:r w:rsidRPr="00180B4B">
              <w:rPr>
                <w:rFonts w:ascii="Times" w:hAnsi="Times"/>
                <w:noProof/>
                <w:szCs w:val="21"/>
              </w:rPr>
              <w:t>1230/2012/ESB</w:t>
            </w:r>
          </w:p>
        </w:tc>
        <w:tc>
          <w:tcPr>
            <w:tcW w:w="2340" w:type="dxa"/>
            <w:tcBorders>
              <w:top w:val="single" w:sz="4" w:space="0" w:color="auto"/>
              <w:left w:val="single" w:sz="4" w:space="0" w:color="auto"/>
              <w:bottom w:val="single" w:sz="4" w:space="0" w:color="auto"/>
              <w:right w:val="single" w:sz="4" w:space="0" w:color="auto"/>
            </w:tcBorders>
          </w:tcPr>
          <w:p w:rsidR="008F692C" w:rsidRPr="00180B4B" w:rsidRDefault="008F692C" w:rsidP="005743B1">
            <w:pPr>
              <w:tabs>
                <w:tab w:val="left" w:pos="397"/>
                <w:tab w:val="left" w:pos="709"/>
              </w:tabs>
              <w:jc w:val="both"/>
              <w:rPr>
                <w:rFonts w:ascii="Times" w:hAnsi="Times"/>
                <w:noProof/>
                <w:szCs w:val="21"/>
                <w:highlight w:val="yellow"/>
              </w:rPr>
            </w:pPr>
            <w:r w:rsidRPr="00180B4B">
              <w:rPr>
                <w:rFonts w:ascii="Times" w:hAnsi="Times"/>
                <w:noProof/>
                <w:szCs w:val="21"/>
              </w:rPr>
              <w:t>L 353, 21.12.2012</w:t>
            </w:r>
          </w:p>
        </w:tc>
        <w:tc>
          <w:tcPr>
            <w:tcW w:w="2898" w:type="dxa"/>
            <w:tcBorders>
              <w:top w:val="single" w:sz="4" w:space="0" w:color="auto"/>
              <w:left w:val="single" w:sz="4" w:space="0" w:color="auto"/>
              <w:bottom w:val="single" w:sz="4" w:space="0" w:color="auto"/>
              <w:right w:val="single" w:sz="4" w:space="0" w:color="auto"/>
            </w:tcBorders>
          </w:tcPr>
          <w:p w:rsidR="008F692C" w:rsidRPr="00180B4B" w:rsidRDefault="008F692C" w:rsidP="005743B1">
            <w:pPr>
              <w:tabs>
                <w:tab w:val="left" w:pos="397"/>
                <w:tab w:val="left" w:pos="709"/>
              </w:tabs>
              <w:rPr>
                <w:rFonts w:ascii="Times" w:hAnsi="Times"/>
                <w:noProof/>
                <w:szCs w:val="21"/>
                <w:highlight w:val="yellow"/>
              </w:rPr>
            </w:pPr>
            <w:r>
              <w:rPr>
                <w:rFonts w:ascii="Times" w:hAnsi="Times"/>
                <w:noProof/>
                <w:szCs w:val="21"/>
              </w:rPr>
              <w:t>Birt í EES-viðbæti nr. 12, 27.2. 2014, bls. 32</w:t>
            </w:r>
            <w:r w:rsidRPr="00180B4B">
              <w:rPr>
                <w:rFonts w:ascii="Times" w:hAnsi="Times"/>
                <w:noProof/>
                <w:szCs w:val="21"/>
              </w:rPr>
              <w:t>.</w:t>
            </w:r>
          </w:p>
        </w:tc>
      </w:tr>
      <w:tr w:rsidR="008F692C" w:rsidTr="005743B1">
        <w:tc>
          <w:tcPr>
            <w:tcW w:w="1945" w:type="dxa"/>
            <w:tcBorders>
              <w:top w:val="single" w:sz="4" w:space="0" w:color="auto"/>
              <w:left w:val="single" w:sz="4" w:space="0" w:color="auto"/>
              <w:bottom w:val="single" w:sz="4" w:space="0" w:color="auto"/>
              <w:right w:val="single" w:sz="4" w:space="0" w:color="auto"/>
            </w:tcBorders>
            <w:hideMark/>
          </w:tcPr>
          <w:p w:rsidR="008F692C" w:rsidRPr="00341A33" w:rsidRDefault="008F692C" w:rsidP="005743B1">
            <w:r w:rsidRPr="00341A33">
              <w:t>195/2013/ESB</w:t>
            </w:r>
          </w:p>
        </w:tc>
        <w:tc>
          <w:tcPr>
            <w:tcW w:w="2340" w:type="dxa"/>
            <w:tcBorders>
              <w:top w:val="single" w:sz="4" w:space="0" w:color="auto"/>
              <w:left w:val="single" w:sz="4" w:space="0" w:color="auto"/>
              <w:bottom w:val="single" w:sz="4" w:space="0" w:color="auto"/>
              <w:right w:val="single" w:sz="4" w:space="0" w:color="auto"/>
            </w:tcBorders>
            <w:hideMark/>
          </w:tcPr>
          <w:p w:rsidR="008F692C" w:rsidRPr="00341A33" w:rsidRDefault="008F692C" w:rsidP="005743B1">
            <w:r w:rsidRPr="00341A33">
              <w:t>L 65, 8.3.2013</w:t>
            </w:r>
          </w:p>
        </w:tc>
        <w:tc>
          <w:tcPr>
            <w:tcW w:w="2898" w:type="dxa"/>
            <w:tcBorders>
              <w:top w:val="single" w:sz="4" w:space="0" w:color="auto"/>
              <w:left w:val="single" w:sz="4" w:space="0" w:color="auto"/>
              <w:bottom w:val="single" w:sz="4" w:space="0" w:color="auto"/>
              <w:right w:val="single" w:sz="4" w:space="0" w:color="auto"/>
            </w:tcBorders>
            <w:hideMark/>
          </w:tcPr>
          <w:p w:rsidR="008F692C" w:rsidRDefault="008F692C" w:rsidP="005743B1">
            <w:r w:rsidRPr="00341A33">
              <w:t>Birt í EES-viðbæti nr. 23, 10.4. 2014, bls. 327.</w:t>
            </w:r>
          </w:p>
        </w:tc>
      </w:tr>
    </w:tbl>
    <w:p w:rsidR="008F692C" w:rsidRPr="00E816BE" w:rsidRDefault="008F692C" w:rsidP="008F692C">
      <w:pPr>
        <w:numPr>
          <w:ilvl w:val="0"/>
          <w:numId w:val="2"/>
        </w:numPr>
        <w:tabs>
          <w:tab w:val="left" w:pos="397"/>
          <w:tab w:val="right" w:pos="7796"/>
        </w:tabs>
        <w:jc w:val="both"/>
        <w:rPr>
          <w:szCs w:val="21"/>
        </w:rPr>
      </w:pPr>
      <w:r>
        <w:rPr>
          <w:szCs w:val="21"/>
        </w:rPr>
        <w:t>Aftast í töfluna, á eftir tölulið 45zzr, kemur nýr töluliður, 45zzu.</w:t>
      </w:r>
      <w:r w:rsidRPr="00180B4B">
        <w:rPr>
          <w:szCs w:val="21"/>
        </w:rPr>
        <w:t xml:space="preserve"> </w:t>
      </w:r>
      <w:r>
        <w:rPr>
          <w:szCs w:val="21"/>
        </w:rPr>
        <w:t>Í reitina „</w:t>
      </w:r>
      <w:r w:rsidRPr="00E816BE">
        <w:rPr>
          <w:szCs w:val="21"/>
        </w:rPr>
        <w:t>Tölul.</w:t>
      </w:r>
      <w:r>
        <w:rPr>
          <w:szCs w:val="21"/>
        </w:rPr>
        <w:t>“, „</w:t>
      </w:r>
      <w:r w:rsidRPr="00E816BE">
        <w:rPr>
          <w:szCs w:val="21"/>
        </w:rPr>
        <w:t>Tilskipun / reglugerð</w:t>
      </w:r>
      <w:r>
        <w:rPr>
          <w:szCs w:val="21"/>
        </w:rPr>
        <w:t>“,</w:t>
      </w:r>
      <w:r w:rsidRPr="00E816BE">
        <w:rPr>
          <w:szCs w:val="21"/>
        </w:rPr>
        <w:t xml:space="preserve"> „síðari viðbætur“, „Stjór</w:t>
      </w:r>
      <w:r>
        <w:rPr>
          <w:szCs w:val="21"/>
        </w:rPr>
        <w:t>nartíðindi EB“ og „EES-birting“</w:t>
      </w:r>
      <w:r w:rsidRPr="00E816BE">
        <w:rPr>
          <w:szCs w:val="21"/>
        </w:rPr>
        <w:t xml:space="preserve"> kemur:</w:t>
      </w:r>
    </w:p>
    <w:tbl>
      <w:tblPr>
        <w:tblW w:w="7467"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842"/>
        <w:gridCol w:w="709"/>
        <w:gridCol w:w="1985"/>
        <w:gridCol w:w="2126"/>
      </w:tblGrid>
      <w:tr w:rsidR="008F692C" w:rsidTr="005743B1">
        <w:tc>
          <w:tcPr>
            <w:tcW w:w="805" w:type="dxa"/>
            <w:tcBorders>
              <w:top w:val="single" w:sz="4" w:space="0" w:color="auto"/>
              <w:left w:val="single" w:sz="4" w:space="0" w:color="auto"/>
              <w:bottom w:val="single" w:sz="4" w:space="0" w:color="auto"/>
              <w:right w:val="single" w:sz="4" w:space="0" w:color="auto"/>
            </w:tcBorders>
          </w:tcPr>
          <w:p w:rsidR="008F692C" w:rsidRPr="00180B4B" w:rsidRDefault="008F692C" w:rsidP="005743B1">
            <w:pPr>
              <w:tabs>
                <w:tab w:val="left" w:pos="397"/>
                <w:tab w:val="left" w:pos="709"/>
              </w:tabs>
              <w:jc w:val="both"/>
              <w:rPr>
                <w:rFonts w:ascii="Times" w:hAnsi="Times"/>
                <w:noProof/>
                <w:szCs w:val="21"/>
              </w:rPr>
            </w:pPr>
            <w:r>
              <w:rPr>
                <w:rFonts w:ascii="Times" w:hAnsi="Times"/>
                <w:noProof/>
                <w:szCs w:val="21"/>
              </w:rPr>
              <w:t>45zzu</w:t>
            </w:r>
          </w:p>
        </w:tc>
        <w:tc>
          <w:tcPr>
            <w:tcW w:w="1842" w:type="dxa"/>
            <w:tcBorders>
              <w:top w:val="single" w:sz="4" w:space="0" w:color="auto"/>
              <w:left w:val="single" w:sz="4" w:space="0" w:color="auto"/>
              <w:bottom w:val="single" w:sz="4" w:space="0" w:color="auto"/>
              <w:right w:val="single" w:sz="4" w:space="0" w:color="auto"/>
            </w:tcBorders>
          </w:tcPr>
          <w:p w:rsidR="008F692C" w:rsidRDefault="008F692C" w:rsidP="005743B1">
            <w:pPr>
              <w:tabs>
                <w:tab w:val="left" w:pos="397"/>
                <w:tab w:val="left" w:pos="709"/>
              </w:tabs>
              <w:jc w:val="both"/>
              <w:rPr>
                <w:rFonts w:ascii="Times" w:hAnsi="Times"/>
                <w:noProof/>
                <w:szCs w:val="21"/>
              </w:rPr>
            </w:pPr>
            <w:r>
              <w:rPr>
                <w:rFonts w:ascii="Times" w:hAnsi="Times"/>
                <w:noProof/>
                <w:szCs w:val="21"/>
              </w:rPr>
              <w:t>Stærð og þyngd</w:t>
            </w:r>
          </w:p>
          <w:p w:rsidR="008F692C" w:rsidRDefault="008F692C" w:rsidP="005743B1">
            <w:pPr>
              <w:tabs>
                <w:tab w:val="left" w:pos="397"/>
                <w:tab w:val="left" w:pos="709"/>
              </w:tabs>
              <w:jc w:val="both"/>
              <w:rPr>
                <w:rFonts w:ascii="Times" w:hAnsi="Times"/>
                <w:noProof/>
                <w:szCs w:val="21"/>
              </w:rPr>
            </w:pPr>
          </w:p>
          <w:p w:rsidR="008F692C" w:rsidRPr="00180B4B" w:rsidRDefault="008F692C" w:rsidP="005743B1">
            <w:pPr>
              <w:tabs>
                <w:tab w:val="left" w:pos="397"/>
                <w:tab w:val="left" w:pos="709"/>
              </w:tabs>
              <w:jc w:val="both"/>
              <w:rPr>
                <w:rFonts w:ascii="Times" w:hAnsi="Times"/>
                <w:noProof/>
                <w:szCs w:val="21"/>
              </w:rPr>
            </w:pPr>
            <w:r w:rsidRPr="00180B4B">
              <w:rPr>
                <w:rFonts w:ascii="Times" w:hAnsi="Times"/>
                <w:noProof/>
                <w:szCs w:val="21"/>
              </w:rPr>
              <w:t>1230/2012/ESB</w:t>
            </w:r>
          </w:p>
        </w:tc>
        <w:tc>
          <w:tcPr>
            <w:tcW w:w="709" w:type="dxa"/>
            <w:tcBorders>
              <w:top w:val="single" w:sz="4" w:space="0" w:color="auto"/>
              <w:left w:val="single" w:sz="4" w:space="0" w:color="auto"/>
              <w:bottom w:val="single" w:sz="4" w:space="0" w:color="auto"/>
              <w:right w:val="single" w:sz="4" w:space="0" w:color="auto"/>
            </w:tcBorders>
          </w:tcPr>
          <w:p w:rsidR="008F692C" w:rsidRPr="00180B4B" w:rsidRDefault="008F692C" w:rsidP="005743B1">
            <w:pPr>
              <w:tabs>
                <w:tab w:val="left" w:pos="397"/>
                <w:tab w:val="left" w:pos="709"/>
              </w:tabs>
              <w:jc w:val="both"/>
              <w:rPr>
                <w:rFonts w:ascii="Times" w:hAnsi="Times"/>
                <w:noProof/>
                <w:szCs w:val="21"/>
                <w:highlight w:val="yellow"/>
              </w:rPr>
            </w:pPr>
          </w:p>
        </w:tc>
        <w:tc>
          <w:tcPr>
            <w:tcW w:w="1985" w:type="dxa"/>
            <w:tcBorders>
              <w:top w:val="single" w:sz="4" w:space="0" w:color="auto"/>
              <w:left w:val="single" w:sz="4" w:space="0" w:color="auto"/>
              <w:bottom w:val="single" w:sz="4" w:space="0" w:color="auto"/>
              <w:right w:val="single" w:sz="4" w:space="0" w:color="auto"/>
            </w:tcBorders>
          </w:tcPr>
          <w:p w:rsidR="008F692C" w:rsidRPr="00180B4B" w:rsidRDefault="008F692C" w:rsidP="005743B1">
            <w:pPr>
              <w:tabs>
                <w:tab w:val="left" w:pos="397"/>
                <w:tab w:val="left" w:pos="709"/>
              </w:tabs>
              <w:jc w:val="both"/>
              <w:rPr>
                <w:rFonts w:ascii="Times" w:hAnsi="Times"/>
                <w:noProof/>
                <w:szCs w:val="21"/>
                <w:highlight w:val="yellow"/>
              </w:rPr>
            </w:pPr>
            <w:r w:rsidRPr="00180B4B">
              <w:rPr>
                <w:rFonts w:ascii="Times" w:hAnsi="Times"/>
                <w:noProof/>
                <w:szCs w:val="21"/>
              </w:rPr>
              <w:t>L 353, 21.12.2012</w:t>
            </w:r>
          </w:p>
        </w:tc>
        <w:tc>
          <w:tcPr>
            <w:tcW w:w="2126" w:type="dxa"/>
            <w:tcBorders>
              <w:top w:val="single" w:sz="4" w:space="0" w:color="auto"/>
              <w:left w:val="single" w:sz="4" w:space="0" w:color="auto"/>
              <w:bottom w:val="single" w:sz="4" w:space="0" w:color="auto"/>
              <w:right w:val="single" w:sz="4" w:space="0" w:color="auto"/>
            </w:tcBorders>
          </w:tcPr>
          <w:p w:rsidR="008F692C" w:rsidRPr="00E816BE" w:rsidRDefault="008F692C" w:rsidP="005743B1">
            <w:pPr>
              <w:tabs>
                <w:tab w:val="left" w:pos="397"/>
                <w:tab w:val="left" w:pos="709"/>
              </w:tabs>
              <w:ind w:right="34"/>
              <w:rPr>
                <w:rFonts w:ascii="Times" w:hAnsi="Times"/>
                <w:noProof/>
                <w:szCs w:val="21"/>
              </w:rPr>
            </w:pPr>
            <w:r>
              <w:rPr>
                <w:rFonts w:ascii="Times" w:hAnsi="Times"/>
                <w:noProof/>
                <w:szCs w:val="21"/>
              </w:rPr>
              <w:t>Birt í EES-viðbæti nr. 12, 27.2. 2014, bls. 32</w:t>
            </w:r>
            <w:r w:rsidRPr="00180B4B">
              <w:rPr>
                <w:rFonts w:ascii="Times" w:hAnsi="Times"/>
                <w:noProof/>
                <w:szCs w:val="21"/>
              </w:rPr>
              <w:t>.</w:t>
            </w:r>
          </w:p>
        </w:tc>
      </w:tr>
    </w:tbl>
    <w:p w:rsidR="008F692C" w:rsidRPr="00AF28AB" w:rsidRDefault="008F692C" w:rsidP="008F692C">
      <w:pPr>
        <w:rPr>
          <w:b/>
        </w:rPr>
      </w:pPr>
    </w:p>
    <w:p w:rsidR="008F692C" w:rsidRDefault="008F692C" w:rsidP="008F692C">
      <w:pPr>
        <w:numPr>
          <w:ilvl w:val="0"/>
          <w:numId w:val="1"/>
        </w:numPr>
        <w:spacing w:line="276" w:lineRule="auto"/>
        <w:jc w:val="center"/>
        <w:rPr>
          <w:b/>
        </w:rPr>
      </w:pPr>
      <w:r>
        <w:rPr>
          <w:b/>
        </w:rPr>
        <w:t>gr.</w:t>
      </w:r>
    </w:p>
    <w:p w:rsidR="008F692C" w:rsidRDefault="008F692C" w:rsidP="008F692C">
      <w:pPr>
        <w:jc w:val="both"/>
        <w:rPr>
          <w:rFonts w:ascii="Times" w:hAnsi="Times" w:cs="Times"/>
        </w:rPr>
      </w:pPr>
      <w:r>
        <w:rPr>
          <w:rFonts w:ascii="Times" w:hAnsi="Times" w:cs="Times"/>
        </w:rPr>
        <w:t>Reglugerð þessi, sem sett er með heimild í 60. gr. umferðarlaga nr. 50/1987, öðlast þegar gildi að undanþeginni 2. gr. reglugerðar þessarar sem skal taka gildi þann 1. nóvember 2014.</w:t>
      </w:r>
    </w:p>
    <w:p w:rsidR="008F692C" w:rsidRDefault="008F692C" w:rsidP="008F692C">
      <w:pPr>
        <w:spacing w:before="240"/>
        <w:jc w:val="center"/>
        <w:rPr>
          <w:i/>
        </w:rPr>
      </w:pPr>
      <w:r>
        <w:rPr>
          <w:i/>
        </w:rPr>
        <w:t xml:space="preserve">Innanríkisráðuneytinu, </w:t>
      </w:r>
    </w:p>
    <w:p w:rsidR="008F692C" w:rsidRDefault="008F692C" w:rsidP="008F692C">
      <w:pPr>
        <w:spacing w:before="240"/>
        <w:jc w:val="center"/>
        <w:rPr>
          <w:i/>
        </w:rPr>
      </w:pPr>
    </w:p>
    <w:p w:rsidR="008F692C" w:rsidRDefault="008F692C" w:rsidP="008F692C">
      <w:pPr>
        <w:pStyle w:val="Undirritun1"/>
        <w:rPr>
          <w:rFonts w:ascii="Times New Roman" w:hAnsi="Times New Roman"/>
          <w:noProof w:val="0"/>
          <w:sz w:val="24"/>
          <w:szCs w:val="24"/>
        </w:rPr>
      </w:pPr>
      <w:r>
        <w:rPr>
          <w:rFonts w:ascii="Times New Roman" w:hAnsi="Times New Roman"/>
          <w:noProof w:val="0"/>
          <w:sz w:val="24"/>
          <w:szCs w:val="24"/>
        </w:rPr>
        <w:t>Hanna Birna Kristjánsdóttir.</w:t>
      </w:r>
    </w:p>
    <w:p w:rsidR="008F692C" w:rsidRDefault="008F692C" w:rsidP="008F692C">
      <w:pPr>
        <w:pStyle w:val="Undirritun1"/>
        <w:rPr>
          <w:rFonts w:ascii="Times New Roman" w:hAnsi="Times New Roman"/>
          <w:noProof w:val="0"/>
          <w:sz w:val="24"/>
          <w:szCs w:val="24"/>
        </w:rPr>
      </w:pPr>
    </w:p>
    <w:p w:rsidR="008F692C" w:rsidRDefault="008F692C" w:rsidP="008F692C">
      <w:pPr>
        <w:pStyle w:val="Undirritun1"/>
        <w:rPr>
          <w:rFonts w:ascii="Times New Roman" w:hAnsi="Times New Roman"/>
          <w:noProof w:val="0"/>
          <w:sz w:val="24"/>
          <w:szCs w:val="24"/>
        </w:rPr>
      </w:pPr>
    </w:p>
    <w:p w:rsidR="008F692C" w:rsidRDefault="008F692C" w:rsidP="008F692C">
      <w:pPr>
        <w:pStyle w:val="Undirritun1"/>
        <w:rPr>
          <w:rFonts w:ascii="Times New Roman" w:hAnsi="Times New Roman"/>
          <w:noProof w:val="0"/>
          <w:sz w:val="24"/>
          <w:szCs w:val="24"/>
        </w:rPr>
      </w:pPr>
    </w:p>
    <w:p w:rsidR="008F692C" w:rsidRDefault="008F692C" w:rsidP="008F692C">
      <w:pPr>
        <w:pStyle w:val="Undirritun2"/>
        <w:rPr>
          <w:noProof w:val="0"/>
        </w:rPr>
      </w:pPr>
      <w:r>
        <w:rPr>
          <w:noProof w:val="0"/>
        </w:rPr>
        <w:t>Ragnhildur Hjaltadóttir.</w:t>
      </w:r>
    </w:p>
    <w:p w:rsidR="008F692C" w:rsidRDefault="008F692C" w:rsidP="008F692C">
      <w:pPr>
        <w:pStyle w:val="Undirritun2"/>
        <w:rPr>
          <w:noProof w:val="0"/>
        </w:rPr>
      </w:pPr>
    </w:p>
    <w:p w:rsidR="008F692C" w:rsidRDefault="008F692C" w:rsidP="008F692C">
      <w:pPr>
        <w:pStyle w:val="Undirritun2"/>
        <w:rPr>
          <w:noProof w:val="0"/>
        </w:rPr>
      </w:pPr>
    </w:p>
    <w:p w:rsidR="008F692C" w:rsidRDefault="008F692C" w:rsidP="008F692C">
      <w:pPr>
        <w:pStyle w:val="Undirritun2"/>
        <w:rPr>
          <w:noProof w:val="0"/>
        </w:rPr>
      </w:pPr>
    </w:p>
    <w:p w:rsidR="00942BC8" w:rsidRDefault="00942BC8" w:rsidP="00942BC8">
      <w:pPr>
        <w:jc w:val="center"/>
        <w:rPr>
          <w:b/>
          <w:sz w:val="44"/>
        </w:rPr>
      </w:pPr>
    </w:p>
    <w:p w:rsidR="00942BC8" w:rsidRDefault="00942BC8" w:rsidP="00942BC8">
      <w:pPr>
        <w:jc w:val="center"/>
        <w:rPr>
          <w:b/>
          <w:sz w:val="44"/>
        </w:rPr>
      </w:pPr>
    </w:p>
    <w:p w:rsidR="00942BC8" w:rsidRDefault="00942BC8" w:rsidP="00942BC8">
      <w:pPr>
        <w:jc w:val="center"/>
        <w:rPr>
          <w:b/>
          <w:sz w:val="44"/>
        </w:rPr>
      </w:pPr>
      <w:r>
        <w:rPr>
          <w:b/>
          <w:sz w:val="44"/>
        </w:rPr>
        <w:t>Greinargerð</w:t>
      </w:r>
    </w:p>
    <w:p w:rsidR="00942BC8" w:rsidRDefault="00942BC8" w:rsidP="00942BC8">
      <w:pPr>
        <w:jc w:val="center"/>
        <w:rPr>
          <w:b/>
          <w:sz w:val="22"/>
        </w:rPr>
      </w:pPr>
    </w:p>
    <w:p w:rsidR="00942BC8" w:rsidRDefault="00942BC8" w:rsidP="00942BC8">
      <w:pPr>
        <w:jc w:val="center"/>
        <w:rPr>
          <w:sz w:val="32"/>
        </w:rPr>
      </w:pPr>
      <w:r>
        <w:rPr>
          <w:sz w:val="32"/>
        </w:rPr>
        <w:t>Um 1., 3. og 4. gr.</w:t>
      </w:r>
    </w:p>
    <w:p w:rsidR="00942BC8" w:rsidRDefault="00942BC8" w:rsidP="00942BC8">
      <w:pPr>
        <w:jc w:val="center"/>
        <w:rPr>
          <w:sz w:val="16"/>
        </w:rPr>
      </w:pPr>
    </w:p>
    <w:p w:rsidR="00942BC8" w:rsidRDefault="00942BC8" w:rsidP="00942BC8">
      <w:pPr>
        <w:spacing w:line="276" w:lineRule="auto"/>
        <w:jc w:val="both"/>
      </w:pPr>
      <w:r>
        <w:t xml:space="preserve">Innihald 1., 3. og 4. gr. tillögu þessarar er af sama meiði, en nánar tiltekið eru ákvæðin liður í innleiðingu reglugerðar framkvæmdastjórnarinnar (ESB) nr. 1230/2012 frá 12. desember 2012 um framkvæmd reglugerðar Evrópuþingsins og ráðsins (EB) nr. 661/2009 um gerðarviðurkenningarkröfur að því er varðar massa og mál vélknúinna ökutækja og eftirvagna þeirra og um breytingu á tilskipun Evrópuþingsins og ráðsins 2007/46/EB. </w:t>
      </w:r>
    </w:p>
    <w:p w:rsidR="00942BC8" w:rsidRDefault="00942BC8" w:rsidP="00942BC8">
      <w:pPr>
        <w:spacing w:line="276" w:lineRule="auto"/>
        <w:jc w:val="both"/>
      </w:pPr>
    </w:p>
    <w:p w:rsidR="00942BC8" w:rsidRPr="0088133B" w:rsidRDefault="00942BC8" w:rsidP="00942BC8">
      <w:pPr>
        <w:spacing w:line="276" w:lineRule="auto"/>
        <w:jc w:val="both"/>
        <w:rPr>
          <w:sz w:val="32"/>
        </w:rPr>
      </w:pPr>
      <w:r w:rsidRPr="0088133B">
        <w:rPr>
          <w:szCs w:val="21"/>
        </w:rPr>
        <w:lastRenderedPageBreak/>
        <w:t xml:space="preserve">Eins og sést á umræddum ákvæðum tillögunnar </w:t>
      </w:r>
      <w:r>
        <w:rPr>
          <w:szCs w:val="21"/>
        </w:rPr>
        <w:t>er gert ráð fyrir að</w:t>
      </w:r>
      <w:r w:rsidRPr="0088133B">
        <w:rPr>
          <w:szCs w:val="21"/>
        </w:rPr>
        <w:t xml:space="preserve"> reglugerð nr. 1230/2012</w:t>
      </w:r>
      <w:r>
        <w:rPr>
          <w:szCs w:val="21"/>
        </w:rPr>
        <w:t xml:space="preserve"> standi</w:t>
      </w:r>
      <w:r w:rsidRPr="0088133B">
        <w:rPr>
          <w:szCs w:val="21"/>
        </w:rPr>
        <w:t xml:space="preserve"> samhliða eldri gerðum </w:t>
      </w:r>
      <w:r w:rsidRPr="0088133B">
        <w:rPr>
          <w:i/>
          <w:szCs w:val="21"/>
        </w:rPr>
        <w:t>(92/21 annars vegar og 97/27 hins vegar)</w:t>
      </w:r>
      <w:r w:rsidRPr="0088133B">
        <w:rPr>
          <w:szCs w:val="21"/>
        </w:rPr>
        <w:t>. Ástæðan fyrir því er sú að eldri gerðirnar skulu fyrst falla brott þann 1.11.2014</w:t>
      </w:r>
      <w:r w:rsidRPr="0088133B">
        <w:rPr>
          <w:i/>
          <w:szCs w:val="21"/>
        </w:rPr>
        <w:t xml:space="preserve"> </w:t>
      </w:r>
      <w:r w:rsidRPr="0088133B">
        <w:rPr>
          <w:szCs w:val="21"/>
        </w:rPr>
        <w:t>skv. 19. gr. EB-reglugerðar nr. 661/2009 og ákvörðun sameiginlegu EES-nefndarinnar nr. 40/2012.</w:t>
      </w:r>
      <w:r>
        <w:rPr>
          <w:szCs w:val="21"/>
        </w:rPr>
        <w:t xml:space="preserve"> Er framsetning sú sem hér um ræðir sambærileg þeirri sem finna má í öðrum ákvæðum reglugerðar nr. 822/2004, sbr. þær breytingar sem gerðar hafa verið á henni síðustu misseri. Af þessu leiðir síðan að eftir 1. nóvember nk. þarf að gera viðunandi breytingar á reglugerð nr. 822/2004 og fella brott þær fjölmörgu eldri gerðir sem þá munu falla úr gildi skv. fyrrnefndri </w:t>
      </w:r>
      <w:r w:rsidRPr="00775117">
        <w:rPr>
          <w:szCs w:val="21"/>
        </w:rPr>
        <w:t>19. gr. EB-reglugerðar nr. 661/2009 og ákvörðun sameiginlegu EES-nefndarinnar nr. 40/2012</w:t>
      </w:r>
      <w:r>
        <w:rPr>
          <w:szCs w:val="21"/>
        </w:rPr>
        <w:t>.</w:t>
      </w:r>
    </w:p>
    <w:p w:rsidR="00942BC8" w:rsidRDefault="00942BC8" w:rsidP="00942BC8">
      <w:pPr>
        <w:jc w:val="center"/>
        <w:rPr>
          <w:sz w:val="20"/>
        </w:rPr>
      </w:pPr>
    </w:p>
    <w:p w:rsidR="00942BC8" w:rsidRDefault="00942BC8" w:rsidP="00942BC8">
      <w:pPr>
        <w:jc w:val="center"/>
        <w:rPr>
          <w:sz w:val="32"/>
        </w:rPr>
      </w:pPr>
      <w:r>
        <w:rPr>
          <w:sz w:val="32"/>
        </w:rPr>
        <w:t>Um 2. gr.</w:t>
      </w:r>
    </w:p>
    <w:p w:rsidR="00942BC8" w:rsidRDefault="00942BC8" w:rsidP="00942BC8">
      <w:pPr>
        <w:spacing w:line="276" w:lineRule="auto"/>
        <w:jc w:val="center"/>
        <w:rPr>
          <w:sz w:val="16"/>
        </w:rPr>
      </w:pPr>
    </w:p>
    <w:p w:rsidR="00942BC8" w:rsidRDefault="00942BC8" w:rsidP="00942BC8">
      <w:pPr>
        <w:shd w:val="clear" w:color="auto" w:fill="FFFFFF" w:themeFill="background1"/>
        <w:spacing w:line="276" w:lineRule="auto"/>
        <w:jc w:val="both"/>
      </w:pPr>
      <w:r>
        <w:t xml:space="preserve">Með 2. gr. er lögð til breyting á ákvæðum sem varða kröfur til hjólbarða, nánar tiltekið áskilda mynstursdýpt þeirra. Var álitaefnið ítarlega skoðað af Samgöngustofu og í því skyni var t.a.m. kallað eftir sjónarmiðum hinna ýmissa aðila, á borð við lögreglu, tryggingarfélaga, skoðunarstöðva og Rannsóknarnefnd samgönguslysa. Taka skal fram að síðustu misseri hafa sumir framangreindra aðila kallað eftir breytingum á þessum reglum. Þær tillögur sem hér eru settar fram fela í sér auknar kröfur, sér í lagi hvað varðar lágmarksmynstursdýpt hjólbarða á </w:t>
      </w:r>
      <w:r>
        <w:rPr>
          <w:i/>
        </w:rPr>
        <w:t>„vetrartímabili“</w:t>
      </w:r>
      <w:r>
        <w:t>. Talið er að slíkt sé mikilvægt m.t.t. umferðaröryggis og við útfærslu 2. gr. var t.a.m. horft til sænskra og norskra reglna um þetta atriði.</w:t>
      </w:r>
    </w:p>
    <w:p w:rsidR="00942BC8" w:rsidRDefault="00942BC8" w:rsidP="00942BC8">
      <w:pPr>
        <w:shd w:val="clear" w:color="auto" w:fill="FFFFFF" w:themeFill="background1"/>
        <w:spacing w:line="276" w:lineRule="auto"/>
        <w:jc w:val="both"/>
        <w:rPr>
          <w:sz w:val="16"/>
        </w:rPr>
      </w:pPr>
    </w:p>
    <w:p w:rsidR="00942BC8" w:rsidRDefault="00942BC8" w:rsidP="00942BC8">
      <w:pPr>
        <w:shd w:val="clear" w:color="auto" w:fill="FFFFFF" w:themeFill="background1"/>
        <w:spacing w:line="276" w:lineRule="auto"/>
        <w:jc w:val="both"/>
      </w:pPr>
      <w:r>
        <w:t>A-lið er ætlað að afmarka mun nánar en nú er gert, hvar mynstursdýpt skuli mæla og að hvergi á því svæði megi dýptin fara undir tilskilin mörk. Ljóst er að slík breyting er mikilvæg, þar sem núgildandi orðalag þykir of matskennt og óljóst.</w:t>
      </w:r>
    </w:p>
    <w:p w:rsidR="00942BC8" w:rsidRDefault="00942BC8" w:rsidP="00942BC8">
      <w:pPr>
        <w:shd w:val="clear" w:color="auto" w:fill="FFFFFF" w:themeFill="background1"/>
        <w:spacing w:line="276" w:lineRule="auto"/>
        <w:jc w:val="both"/>
        <w:rPr>
          <w:sz w:val="16"/>
        </w:rPr>
      </w:pPr>
    </w:p>
    <w:p w:rsidR="00942BC8" w:rsidRDefault="00942BC8" w:rsidP="00942BC8">
      <w:pPr>
        <w:shd w:val="clear" w:color="auto" w:fill="FFFFFF" w:themeFill="background1"/>
        <w:spacing w:line="276" w:lineRule="auto"/>
        <w:jc w:val="both"/>
        <w:rPr>
          <w:rFonts w:ascii="Times" w:hAnsi="Times"/>
          <w:noProof/>
        </w:rPr>
      </w:pPr>
      <w:r>
        <w:t xml:space="preserve">Síðari stafliðir innihalda síðan tillögu að nýjum lágmarkskröfum til mynstursdýptar, sundurliðaða eftir mismunandi flokkum ökutækja. Helsta nýmælið er að auknar kröfur verða gerðar á </w:t>
      </w:r>
      <w:r>
        <w:rPr>
          <w:i/>
        </w:rPr>
        <w:t>„vetrartímabili“,</w:t>
      </w:r>
      <w:r>
        <w:t xml:space="preserve"> en það tímabil er skilgreint sem tímabilið </w:t>
      </w:r>
      <w:r>
        <w:rPr>
          <w:rFonts w:ascii="Times" w:hAnsi="Times"/>
          <w:noProof/>
        </w:rPr>
        <w:t>frá og með 1. nóvember til og með 14. apríl, í samræmi við það sem reglugerð nr. 822/2004 mælir þegar fyrir um að sé tímabilið þar sem heimilt er að nota nagladekk.</w:t>
      </w:r>
    </w:p>
    <w:p w:rsidR="00942BC8" w:rsidRDefault="00942BC8" w:rsidP="00942BC8">
      <w:pPr>
        <w:shd w:val="clear" w:color="auto" w:fill="FFFFFF" w:themeFill="background1"/>
        <w:spacing w:line="276" w:lineRule="auto"/>
        <w:jc w:val="both"/>
        <w:rPr>
          <w:rFonts w:ascii="Times" w:hAnsi="Times"/>
          <w:noProof/>
          <w:sz w:val="16"/>
        </w:rPr>
      </w:pPr>
    </w:p>
    <w:p w:rsidR="00942BC8" w:rsidRDefault="00942BC8" w:rsidP="00942BC8">
      <w:pPr>
        <w:shd w:val="clear" w:color="auto" w:fill="FFFFFF" w:themeFill="background1"/>
        <w:spacing w:line="276" w:lineRule="auto"/>
        <w:jc w:val="both"/>
        <w:rPr>
          <w:rFonts w:ascii="Times" w:hAnsi="Times"/>
          <w:noProof/>
        </w:rPr>
      </w:pPr>
      <w:r>
        <w:rPr>
          <w:rFonts w:ascii="Times" w:hAnsi="Times"/>
          <w:noProof/>
        </w:rPr>
        <w:t>2. gr. felur í sér að lágmarksmynstursdýpt allra ökutækja sem þar er kveðið á um verði 1,6 mm á sumartímabili, en 3 mm á vetrartímabili. Raunar er ein undantekning frá þessu, varðandi bifreiðar til neyðaraksturs, en eðli máls samkvæmt eru gerðar ríkari kröfur til þeirra, eða 2 mm á sumartímabili og 4 mm á vetrartímabili, sbr. k-lið.</w:t>
      </w:r>
    </w:p>
    <w:p w:rsidR="00942BC8" w:rsidRDefault="00942BC8" w:rsidP="00942BC8">
      <w:pPr>
        <w:shd w:val="clear" w:color="auto" w:fill="FFFFFF" w:themeFill="background1"/>
        <w:spacing w:line="276" w:lineRule="auto"/>
        <w:jc w:val="both"/>
        <w:rPr>
          <w:rFonts w:ascii="Times" w:hAnsi="Times"/>
          <w:noProof/>
          <w:sz w:val="16"/>
        </w:rPr>
      </w:pPr>
    </w:p>
    <w:p w:rsidR="00942BC8" w:rsidRDefault="00942BC8" w:rsidP="00942BC8">
      <w:pPr>
        <w:shd w:val="clear" w:color="auto" w:fill="FFFFFF" w:themeFill="background1"/>
        <w:spacing w:line="276" w:lineRule="auto"/>
        <w:jc w:val="both"/>
        <w:rPr>
          <w:rFonts w:ascii="Times" w:hAnsi="Times"/>
          <w:noProof/>
        </w:rPr>
      </w:pPr>
      <w:r>
        <w:rPr>
          <w:rFonts w:ascii="Times" w:hAnsi="Times"/>
          <w:noProof/>
        </w:rPr>
        <w:t>Núverandi ákvæði reglugerðar nr. 822/2004 gera aftur á móti ekki mismunandi kröfur milli sumars- og vetrartímabila, heldur er eina lágmarkskröfu þar að finna. Er hún 1,6 mm fyrir þá ökutækisflokka sem falla undir gildissvið tilskipunar 89/459/EBE (</w:t>
      </w:r>
      <w:r>
        <w:rPr>
          <w:rFonts w:ascii="Times" w:hAnsi="Times"/>
          <w:i/>
          <w:noProof/>
        </w:rPr>
        <w:t>þar sem kveðið er um að lágmark ríkja skuli vera a.m.k. 1,6 mm)</w:t>
      </w:r>
      <w:r>
        <w:rPr>
          <w:rFonts w:ascii="Times" w:hAnsi="Times"/>
          <w:noProof/>
        </w:rPr>
        <w:t xml:space="preserve">, en fyrir aðra ökutækisflokka </w:t>
      </w:r>
      <w:r>
        <w:rPr>
          <w:rFonts w:ascii="Times" w:hAnsi="Times"/>
          <w:i/>
          <w:noProof/>
        </w:rPr>
        <w:t>(vörubifreiðar og þunga eftirvagna)</w:t>
      </w:r>
      <w:r>
        <w:rPr>
          <w:rFonts w:ascii="Times" w:hAnsi="Times"/>
          <w:noProof/>
        </w:rPr>
        <w:t xml:space="preserve"> aðeins 1,0 mm. </w:t>
      </w:r>
    </w:p>
    <w:p w:rsidR="00942BC8" w:rsidRDefault="00942BC8" w:rsidP="00942BC8">
      <w:pPr>
        <w:shd w:val="clear" w:color="auto" w:fill="FFFFFF" w:themeFill="background1"/>
        <w:spacing w:line="276" w:lineRule="auto"/>
        <w:jc w:val="both"/>
        <w:rPr>
          <w:rFonts w:ascii="Times" w:hAnsi="Times"/>
          <w:noProof/>
        </w:rPr>
      </w:pPr>
    </w:p>
    <w:p w:rsidR="00942BC8" w:rsidRDefault="00942BC8" w:rsidP="00942BC8">
      <w:pPr>
        <w:shd w:val="clear" w:color="auto" w:fill="FFFFFF" w:themeFill="background1"/>
        <w:spacing w:line="276" w:lineRule="auto"/>
        <w:jc w:val="both"/>
      </w:pPr>
      <w:r>
        <w:rPr>
          <w:rFonts w:ascii="Times" w:hAnsi="Times"/>
          <w:noProof/>
        </w:rPr>
        <w:t xml:space="preserve">Þess skal að lokum getið að ekki eru gerðar breytingar á gildandi kröfum til mynstursdýptar bifhjóla. Meginástæður þess er að ábendingar þar til bærra aðila og könnun Samgöngustofu hafa leitt í ljós að ekki sé hnígi rök til slíkra breytinga, enda séu hjólbarðar bifhjóla að ýmsu leyti frábrugðnir hjólbörðum annarra ökutækja.  </w:t>
      </w:r>
    </w:p>
    <w:p w:rsidR="00942BC8" w:rsidRDefault="00942BC8" w:rsidP="00942BC8">
      <w:pPr>
        <w:spacing w:line="276" w:lineRule="auto"/>
        <w:jc w:val="both"/>
        <w:rPr>
          <w:sz w:val="20"/>
        </w:rPr>
      </w:pPr>
    </w:p>
    <w:p w:rsidR="00942BC8" w:rsidRDefault="00942BC8" w:rsidP="00942BC8">
      <w:pPr>
        <w:jc w:val="center"/>
        <w:rPr>
          <w:sz w:val="32"/>
        </w:rPr>
      </w:pPr>
      <w:r>
        <w:rPr>
          <w:sz w:val="32"/>
        </w:rPr>
        <w:t>Um 5. gr.</w:t>
      </w:r>
    </w:p>
    <w:p w:rsidR="00942BC8" w:rsidRDefault="00942BC8" w:rsidP="00942BC8">
      <w:pPr>
        <w:spacing w:line="276" w:lineRule="auto"/>
        <w:jc w:val="center"/>
        <w:rPr>
          <w:sz w:val="16"/>
        </w:rPr>
      </w:pPr>
    </w:p>
    <w:p w:rsidR="00942BC8" w:rsidRDefault="00942BC8" w:rsidP="00942BC8">
      <w:pPr>
        <w:spacing w:line="276" w:lineRule="auto"/>
        <w:jc w:val="both"/>
      </w:pPr>
      <w:r>
        <w:t xml:space="preserve">Með 5. gr. er einfaldlega lögð til viðbót við tilvísunartöflu viðauka III. Er nánar tiltekið vísað til þeirra ákvæða þar sem </w:t>
      </w:r>
      <w:r w:rsidRPr="00161AB4">
        <w:t>reglugerð nr. 1230/2012</w:t>
      </w:r>
      <w:r>
        <w:t xml:space="preserve"> kemur fyrir.</w:t>
      </w:r>
    </w:p>
    <w:p w:rsidR="00942BC8" w:rsidRDefault="00942BC8" w:rsidP="00942BC8">
      <w:pPr>
        <w:spacing w:line="276" w:lineRule="auto"/>
        <w:jc w:val="both"/>
        <w:rPr>
          <w:sz w:val="20"/>
        </w:rPr>
      </w:pPr>
    </w:p>
    <w:p w:rsidR="00942BC8" w:rsidRDefault="00942BC8" w:rsidP="00942BC8">
      <w:pPr>
        <w:jc w:val="center"/>
        <w:rPr>
          <w:sz w:val="32"/>
        </w:rPr>
      </w:pPr>
      <w:r>
        <w:rPr>
          <w:sz w:val="32"/>
        </w:rPr>
        <w:t>Um 6. gr.</w:t>
      </w:r>
    </w:p>
    <w:p w:rsidR="00942BC8" w:rsidRDefault="00942BC8" w:rsidP="00942BC8">
      <w:pPr>
        <w:rPr>
          <w:sz w:val="16"/>
        </w:rPr>
      </w:pPr>
    </w:p>
    <w:p w:rsidR="00942BC8" w:rsidRPr="00002E90" w:rsidRDefault="00942BC8" w:rsidP="00942BC8">
      <w:pPr>
        <w:autoSpaceDE w:val="0"/>
        <w:autoSpaceDN w:val="0"/>
        <w:adjustRightInd w:val="0"/>
        <w:spacing w:line="276" w:lineRule="auto"/>
        <w:jc w:val="both"/>
        <w:rPr>
          <w:szCs w:val="21"/>
        </w:rPr>
      </w:pPr>
      <w:r w:rsidRPr="00002E90">
        <w:rPr>
          <w:szCs w:val="21"/>
        </w:rPr>
        <w:t>Með 6. gr. er tafla undir fyrirsögninni „bifreiðar og eftirvagnar“ í IV.viðauka reglugerðar nr. 822/2004 uppfærð. Felur uppfærslan í sér tilvísun</w:t>
      </w:r>
      <w:r>
        <w:rPr>
          <w:szCs w:val="21"/>
        </w:rPr>
        <w:t xml:space="preserve"> í</w:t>
      </w:r>
      <w:r w:rsidRPr="00002E90">
        <w:rPr>
          <w:szCs w:val="21"/>
        </w:rPr>
        <w:t xml:space="preserve"> þær tvær gerðir sem innleiddar skulu með þessum reglugerðardrögum. Annars vegar er um að ræða áðurnefnda reglugerð nr. 1230/2012. Hins vegar er um að ræða reglugerð framkvæmdastjórnarinnar (ESB) nr. 195/2013 frá 7. mars 2013 um breyt</w:t>
      </w:r>
      <w:r>
        <w:rPr>
          <w:szCs w:val="21"/>
        </w:rPr>
        <w:t xml:space="preserve">ingu á tilskipun Evrópuþingsins </w:t>
      </w:r>
      <w:r w:rsidRPr="00002E90">
        <w:rPr>
          <w:szCs w:val="21"/>
        </w:rPr>
        <w:t xml:space="preserve">ráðsins 2007/46/EB og reglugerð framkvæmdastjórnarinnar (EB) nr. 692/2008 að því er varðar nýsköpunartækni sem dregur úr losun koltvísýrings frá léttum farþega- og atvinnuökutækjum. Reglugerð nr. 195/2013 snýr eingöngu að heildargerðarviðurkenningarferli ökutækja og felur ekki í sér nein ákvæði sem kalla á breytingu á efnisákvæðum reglugerðar nr. 822/2004 um gerð og búnað ökutækja. Er því lagt til með 6. gr. tillögu þessarar að reglugerð nr. 195/2013 verði innleidd með tilvísunaraðferð </w:t>
      </w:r>
      <w:r>
        <w:rPr>
          <w:szCs w:val="21"/>
        </w:rPr>
        <w:t>á sama hátt</w:t>
      </w:r>
      <w:r w:rsidRPr="00002E90">
        <w:rPr>
          <w:szCs w:val="21"/>
        </w:rPr>
        <w:t xml:space="preserve"> og hefur tíðkast um sambærilegar gerðir. </w:t>
      </w:r>
    </w:p>
    <w:p w:rsidR="00942BC8" w:rsidRDefault="00942BC8" w:rsidP="00942BC8">
      <w:pPr>
        <w:jc w:val="center"/>
        <w:rPr>
          <w:sz w:val="32"/>
        </w:rPr>
      </w:pPr>
    </w:p>
    <w:p w:rsidR="00942BC8" w:rsidRDefault="00942BC8" w:rsidP="00942BC8">
      <w:pPr>
        <w:jc w:val="center"/>
        <w:rPr>
          <w:sz w:val="32"/>
        </w:rPr>
      </w:pPr>
      <w:r>
        <w:rPr>
          <w:sz w:val="32"/>
        </w:rPr>
        <w:t>Um 7. gr.</w:t>
      </w:r>
    </w:p>
    <w:p w:rsidR="00942BC8" w:rsidRDefault="00942BC8" w:rsidP="00942BC8">
      <w:pPr>
        <w:rPr>
          <w:sz w:val="16"/>
        </w:rPr>
      </w:pPr>
    </w:p>
    <w:p w:rsidR="00942BC8" w:rsidRPr="00002E90" w:rsidRDefault="00942BC8" w:rsidP="00942BC8">
      <w:pPr>
        <w:autoSpaceDE w:val="0"/>
        <w:autoSpaceDN w:val="0"/>
        <w:adjustRightInd w:val="0"/>
        <w:spacing w:line="276" w:lineRule="auto"/>
        <w:jc w:val="both"/>
        <w:rPr>
          <w:szCs w:val="21"/>
        </w:rPr>
      </w:pPr>
      <w:r>
        <w:rPr>
          <w:szCs w:val="21"/>
        </w:rPr>
        <w:t>Með 7</w:t>
      </w:r>
      <w:r w:rsidRPr="00002E90">
        <w:rPr>
          <w:szCs w:val="21"/>
        </w:rPr>
        <w:t xml:space="preserve">. gr. er </w:t>
      </w:r>
      <w:r>
        <w:rPr>
          <w:szCs w:val="21"/>
        </w:rPr>
        <w:t>lagt til að ákvæði 2. gr., sem felur í sér hertar lágmarkskröfur til mynstursdýptar hjólbarða, taki fyrst gildi þann 1. nóvember 2014. Með þeim hætti gefst svigrúm til að kynna breytingarnar fyrir almenningi, en slíkt er mikilvægt þar sem breytingarnar koma til með að snerta stóran hluta landsmanna. Gildistakan á 2. gr. fer saman við upphaf „vetrartímabilsins“ eins og það er skilgreint í reglugerðinni og var því talið kjörið að miða við umrædda dagsetningu, 1. nóvember.</w:t>
      </w:r>
    </w:p>
    <w:p w:rsidR="00942BC8" w:rsidRPr="00BF6C88" w:rsidRDefault="00942BC8" w:rsidP="00942BC8">
      <w:pPr>
        <w:ind w:right="-694"/>
        <w:rPr>
          <w:sz w:val="22"/>
          <w:szCs w:val="22"/>
          <w:lang w:val="da-DK"/>
        </w:rPr>
      </w:pPr>
    </w:p>
    <w:p w:rsidR="008F692C" w:rsidRDefault="008F692C"/>
    <w:sectPr w:rsidR="008F69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D7" w:rsidRDefault="00B005D7" w:rsidP="00B005D7">
      <w:r>
        <w:separator/>
      </w:r>
    </w:p>
  </w:endnote>
  <w:endnote w:type="continuationSeparator" w:id="0">
    <w:p w:rsidR="00B005D7" w:rsidRDefault="00B005D7" w:rsidP="00B0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D7" w:rsidRDefault="00B00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D7" w:rsidRDefault="00B00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D7" w:rsidRDefault="00B00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D7" w:rsidRDefault="00B005D7" w:rsidP="00B005D7">
      <w:r>
        <w:separator/>
      </w:r>
    </w:p>
  </w:footnote>
  <w:footnote w:type="continuationSeparator" w:id="0">
    <w:p w:rsidR="00B005D7" w:rsidRDefault="00B005D7" w:rsidP="00B0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D7" w:rsidRDefault="00B00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0891" o:spid="_x0000_s2050" type="#_x0000_t136" style="position:absolute;margin-left:0;margin-top:0;width:426.35pt;height:213.15pt;rotation:315;z-index:-251655168;mso-position-horizontal:center;mso-position-horizontal-relative:margin;mso-position-vertical:center;mso-position-vertical-relative:margin" o:allowincell="f" fillcolor="#a5a5a5 [2092]" stroked="f">
          <v:fill opacity=".5"/>
          <v:textpath style="font-family:&quot;Times New Roman&quot;;font-size:1pt" string="DRÖ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D7" w:rsidRDefault="00B00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0892" o:spid="_x0000_s2051" type="#_x0000_t136" style="position:absolute;margin-left:0;margin-top:0;width:426.35pt;height:213.15pt;rotation:315;z-index:-251653120;mso-position-horizontal:center;mso-position-horizontal-relative:margin;mso-position-vertical:center;mso-position-vertical-relative:margin" o:allowincell="f" fillcolor="#a5a5a5 [2092]" stroked="f">
          <v:fill opacity=".5"/>
          <v:textpath style="font-family:&quot;Times New Roman&quot;;font-size:1pt" string="DRÖ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D7" w:rsidRDefault="00B00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0890" o:spid="_x0000_s2049" type="#_x0000_t136" style="position:absolute;margin-left:0;margin-top:0;width:426.35pt;height:213.15pt;rotation:315;z-index:-251657216;mso-position-horizontal:center;mso-position-horizontal-relative:margin;mso-position-vertical:center;mso-position-vertical-relative:margin" o:allowincell="f" fillcolor="#a5a5a5 [2092]" stroked="f">
          <v:fill opacity=".5"/>
          <v:textpath style="font-family:&quot;Times New Roman&quot;;font-size:1pt" string="DRÖ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166"/>
    <w:multiLevelType w:val="singleLevel"/>
    <w:tmpl w:val="C8E80FE8"/>
    <w:lvl w:ilvl="0">
      <w:start w:val="1"/>
      <w:numFmt w:val="lowerLetter"/>
      <w:lvlText w:val="%1."/>
      <w:lvlJc w:val="left"/>
      <w:pPr>
        <w:tabs>
          <w:tab w:val="num" w:pos="757"/>
        </w:tabs>
        <w:ind w:left="709" w:hanging="312"/>
      </w:pPr>
    </w:lvl>
  </w:abstractNum>
  <w:abstractNum w:abstractNumId="1">
    <w:nsid w:val="71B75773"/>
    <w:multiLevelType w:val="hybridMultilevel"/>
    <w:tmpl w:val="4E8A52B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2C"/>
    <w:rsid w:val="00002116"/>
    <w:rsid w:val="00005862"/>
    <w:rsid w:val="000220D0"/>
    <w:rsid w:val="00023917"/>
    <w:rsid w:val="000263FC"/>
    <w:rsid w:val="00033F72"/>
    <w:rsid w:val="0004477A"/>
    <w:rsid w:val="00046A4B"/>
    <w:rsid w:val="00047676"/>
    <w:rsid w:val="00050222"/>
    <w:rsid w:val="00050251"/>
    <w:rsid w:val="00051839"/>
    <w:rsid w:val="00052877"/>
    <w:rsid w:val="00052AD2"/>
    <w:rsid w:val="00053A14"/>
    <w:rsid w:val="00056548"/>
    <w:rsid w:val="00057ACB"/>
    <w:rsid w:val="00060696"/>
    <w:rsid w:val="000624D7"/>
    <w:rsid w:val="00076EA4"/>
    <w:rsid w:val="00091014"/>
    <w:rsid w:val="00096136"/>
    <w:rsid w:val="000A0740"/>
    <w:rsid w:val="000A4158"/>
    <w:rsid w:val="000C437D"/>
    <w:rsid w:val="000C77C5"/>
    <w:rsid w:val="000E4F9B"/>
    <w:rsid w:val="000E598B"/>
    <w:rsid w:val="000F17C2"/>
    <w:rsid w:val="000F405F"/>
    <w:rsid w:val="000F5BFB"/>
    <w:rsid w:val="00104582"/>
    <w:rsid w:val="00104DD6"/>
    <w:rsid w:val="001055F1"/>
    <w:rsid w:val="00105D9F"/>
    <w:rsid w:val="001303AA"/>
    <w:rsid w:val="0013505B"/>
    <w:rsid w:val="0013773A"/>
    <w:rsid w:val="00141370"/>
    <w:rsid w:val="001413EE"/>
    <w:rsid w:val="00150034"/>
    <w:rsid w:val="001576E5"/>
    <w:rsid w:val="001712D1"/>
    <w:rsid w:val="001841E1"/>
    <w:rsid w:val="0019498C"/>
    <w:rsid w:val="00196B90"/>
    <w:rsid w:val="00196FD9"/>
    <w:rsid w:val="001A125F"/>
    <w:rsid w:val="001B4076"/>
    <w:rsid w:val="001B43AF"/>
    <w:rsid w:val="001B4690"/>
    <w:rsid w:val="001B6A83"/>
    <w:rsid w:val="001C3E46"/>
    <w:rsid w:val="001C41A8"/>
    <w:rsid w:val="001D0441"/>
    <w:rsid w:val="001D0DF2"/>
    <w:rsid w:val="001D1455"/>
    <w:rsid w:val="001D562A"/>
    <w:rsid w:val="001E1613"/>
    <w:rsid w:val="001E2480"/>
    <w:rsid w:val="001E2E41"/>
    <w:rsid w:val="001F072E"/>
    <w:rsid w:val="001F250C"/>
    <w:rsid w:val="001F3A93"/>
    <w:rsid w:val="001F652C"/>
    <w:rsid w:val="001F6884"/>
    <w:rsid w:val="001F7EC2"/>
    <w:rsid w:val="00207403"/>
    <w:rsid w:val="002209F9"/>
    <w:rsid w:val="002213F9"/>
    <w:rsid w:val="0022158A"/>
    <w:rsid w:val="00223B97"/>
    <w:rsid w:val="002271FC"/>
    <w:rsid w:val="00232A48"/>
    <w:rsid w:val="00233432"/>
    <w:rsid w:val="0023713F"/>
    <w:rsid w:val="002467F7"/>
    <w:rsid w:val="00247F74"/>
    <w:rsid w:val="00253D1B"/>
    <w:rsid w:val="002559F7"/>
    <w:rsid w:val="002571D6"/>
    <w:rsid w:val="002754A7"/>
    <w:rsid w:val="00276755"/>
    <w:rsid w:val="002905BC"/>
    <w:rsid w:val="00296B1E"/>
    <w:rsid w:val="002A2FD2"/>
    <w:rsid w:val="002B09E3"/>
    <w:rsid w:val="002B3043"/>
    <w:rsid w:val="002B69F4"/>
    <w:rsid w:val="002C0EB4"/>
    <w:rsid w:val="002D4B11"/>
    <w:rsid w:val="002F0C57"/>
    <w:rsid w:val="002F57AC"/>
    <w:rsid w:val="00306960"/>
    <w:rsid w:val="003201D6"/>
    <w:rsid w:val="00330382"/>
    <w:rsid w:val="00345B2D"/>
    <w:rsid w:val="003529BD"/>
    <w:rsid w:val="00362C26"/>
    <w:rsid w:val="003720B2"/>
    <w:rsid w:val="0038625D"/>
    <w:rsid w:val="00386914"/>
    <w:rsid w:val="00387DBE"/>
    <w:rsid w:val="003A4004"/>
    <w:rsid w:val="003B79DB"/>
    <w:rsid w:val="003B79E5"/>
    <w:rsid w:val="003C52F0"/>
    <w:rsid w:val="003C68CD"/>
    <w:rsid w:val="003D5830"/>
    <w:rsid w:val="003D5A30"/>
    <w:rsid w:val="003E314F"/>
    <w:rsid w:val="003F2185"/>
    <w:rsid w:val="003F5924"/>
    <w:rsid w:val="003F6335"/>
    <w:rsid w:val="004007CE"/>
    <w:rsid w:val="00403B7D"/>
    <w:rsid w:val="00415561"/>
    <w:rsid w:val="00442E38"/>
    <w:rsid w:val="0044397C"/>
    <w:rsid w:val="0045371E"/>
    <w:rsid w:val="004674EC"/>
    <w:rsid w:val="00476D24"/>
    <w:rsid w:val="00476F0D"/>
    <w:rsid w:val="00484ADE"/>
    <w:rsid w:val="004B2228"/>
    <w:rsid w:val="004B2701"/>
    <w:rsid w:val="004C3B22"/>
    <w:rsid w:val="004C7CF7"/>
    <w:rsid w:val="004D3FEA"/>
    <w:rsid w:val="004D4EF3"/>
    <w:rsid w:val="004E6531"/>
    <w:rsid w:val="004E681D"/>
    <w:rsid w:val="004F6C66"/>
    <w:rsid w:val="00501650"/>
    <w:rsid w:val="00504A56"/>
    <w:rsid w:val="0051249D"/>
    <w:rsid w:val="005147C9"/>
    <w:rsid w:val="0052250E"/>
    <w:rsid w:val="0053366A"/>
    <w:rsid w:val="0053686B"/>
    <w:rsid w:val="00540A73"/>
    <w:rsid w:val="005444AE"/>
    <w:rsid w:val="00547F2C"/>
    <w:rsid w:val="0055558F"/>
    <w:rsid w:val="005660B1"/>
    <w:rsid w:val="00582730"/>
    <w:rsid w:val="00584185"/>
    <w:rsid w:val="005915E6"/>
    <w:rsid w:val="005B3275"/>
    <w:rsid w:val="005B7240"/>
    <w:rsid w:val="005C64E8"/>
    <w:rsid w:val="005C77BD"/>
    <w:rsid w:val="005E1D38"/>
    <w:rsid w:val="005E47AF"/>
    <w:rsid w:val="00601DB5"/>
    <w:rsid w:val="0060264E"/>
    <w:rsid w:val="00615A2D"/>
    <w:rsid w:val="00622143"/>
    <w:rsid w:val="00625293"/>
    <w:rsid w:val="00641512"/>
    <w:rsid w:val="00642EA6"/>
    <w:rsid w:val="00647C78"/>
    <w:rsid w:val="00651A33"/>
    <w:rsid w:val="0066076B"/>
    <w:rsid w:val="00667002"/>
    <w:rsid w:val="00680929"/>
    <w:rsid w:val="00682DCD"/>
    <w:rsid w:val="0068332F"/>
    <w:rsid w:val="006840DA"/>
    <w:rsid w:val="006842DF"/>
    <w:rsid w:val="00685AF8"/>
    <w:rsid w:val="006A078F"/>
    <w:rsid w:val="006B1869"/>
    <w:rsid w:val="006B2157"/>
    <w:rsid w:val="006C7A1E"/>
    <w:rsid w:val="006D297B"/>
    <w:rsid w:val="006F18D3"/>
    <w:rsid w:val="00710875"/>
    <w:rsid w:val="00717F36"/>
    <w:rsid w:val="00725D84"/>
    <w:rsid w:val="00732DED"/>
    <w:rsid w:val="00737AE6"/>
    <w:rsid w:val="00746E58"/>
    <w:rsid w:val="00765939"/>
    <w:rsid w:val="0076777E"/>
    <w:rsid w:val="007700FB"/>
    <w:rsid w:val="00772607"/>
    <w:rsid w:val="00776C8C"/>
    <w:rsid w:val="007846BD"/>
    <w:rsid w:val="00784A6F"/>
    <w:rsid w:val="00791658"/>
    <w:rsid w:val="007916C6"/>
    <w:rsid w:val="007B4EF7"/>
    <w:rsid w:val="007C24A4"/>
    <w:rsid w:val="007C72CF"/>
    <w:rsid w:val="007D78C6"/>
    <w:rsid w:val="007E0C9B"/>
    <w:rsid w:val="007E419E"/>
    <w:rsid w:val="007F7380"/>
    <w:rsid w:val="00812C78"/>
    <w:rsid w:val="008372B6"/>
    <w:rsid w:val="00840EAE"/>
    <w:rsid w:val="00850550"/>
    <w:rsid w:val="00854813"/>
    <w:rsid w:val="008554FB"/>
    <w:rsid w:val="00865F6D"/>
    <w:rsid w:val="00870AB4"/>
    <w:rsid w:val="008743AD"/>
    <w:rsid w:val="00876BD8"/>
    <w:rsid w:val="00877B18"/>
    <w:rsid w:val="008841DD"/>
    <w:rsid w:val="00892D15"/>
    <w:rsid w:val="00896253"/>
    <w:rsid w:val="008A5166"/>
    <w:rsid w:val="008D1C7E"/>
    <w:rsid w:val="008E7349"/>
    <w:rsid w:val="008F1855"/>
    <w:rsid w:val="008F692C"/>
    <w:rsid w:val="009005F2"/>
    <w:rsid w:val="009108D5"/>
    <w:rsid w:val="00911718"/>
    <w:rsid w:val="00914AF2"/>
    <w:rsid w:val="0092090D"/>
    <w:rsid w:val="00920948"/>
    <w:rsid w:val="0092574F"/>
    <w:rsid w:val="00933BE8"/>
    <w:rsid w:val="00940EC0"/>
    <w:rsid w:val="00942BC8"/>
    <w:rsid w:val="00956449"/>
    <w:rsid w:val="009655B0"/>
    <w:rsid w:val="0097123F"/>
    <w:rsid w:val="00973DD4"/>
    <w:rsid w:val="00976781"/>
    <w:rsid w:val="0099333F"/>
    <w:rsid w:val="009D3F93"/>
    <w:rsid w:val="009D64E4"/>
    <w:rsid w:val="009D69DA"/>
    <w:rsid w:val="009E2357"/>
    <w:rsid w:val="009F062B"/>
    <w:rsid w:val="009F5D61"/>
    <w:rsid w:val="00A21580"/>
    <w:rsid w:val="00A23BA7"/>
    <w:rsid w:val="00A25504"/>
    <w:rsid w:val="00A268AC"/>
    <w:rsid w:val="00A568F4"/>
    <w:rsid w:val="00A638A6"/>
    <w:rsid w:val="00A655F3"/>
    <w:rsid w:val="00A67615"/>
    <w:rsid w:val="00A93CF4"/>
    <w:rsid w:val="00A95273"/>
    <w:rsid w:val="00AA520B"/>
    <w:rsid w:val="00AB2F99"/>
    <w:rsid w:val="00AC350A"/>
    <w:rsid w:val="00AC3EA8"/>
    <w:rsid w:val="00AC4C29"/>
    <w:rsid w:val="00AD47F6"/>
    <w:rsid w:val="00AE37AB"/>
    <w:rsid w:val="00AE73D5"/>
    <w:rsid w:val="00AF3C76"/>
    <w:rsid w:val="00B005D7"/>
    <w:rsid w:val="00B15FD7"/>
    <w:rsid w:val="00B20ABA"/>
    <w:rsid w:val="00B2244E"/>
    <w:rsid w:val="00B225E9"/>
    <w:rsid w:val="00B3176E"/>
    <w:rsid w:val="00B33727"/>
    <w:rsid w:val="00B33F5D"/>
    <w:rsid w:val="00B42B71"/>
    <w:rsid w:val="00B573EA"/>
    <w:rsid w:val="00B71616"/>
    <w:rsid w:val="00B73092"/>
    <w:rsid w:val="00B85CF5"/>
    <w:rsid w:val="00BA1B6F"/>
    <w:rsid w:val="00BA36E4"/>
    <w:rsid w:val="00BA57FB"/>
    <w:rsid w:val="00BB431D"/>
    <w:rsid w:val="00BB704D"/>
    <w:rsid w:val="00BC1CBA"/>
    <w:rsid w:val="00BC534D"/>
    <w:rsid w:val="00BD19E1"/>
    <w:rsid w:val="00BD1EEF"/>
    <w:rsid w:val="00BF6916"/>
    <w:rsid w:val="00C07ED1"/>
    <w:rsid w:val="00C159BF"/>
    <w:rsid w:val="00C229A3"/>
    <w:rsid w:val="00C37B3C"/>
    <w:rsid w:val="00C703DB"/>
    <w:rsid w:val="00C70A53"/>
    <w:rsid w:val="00C84851"/>
    <w:rsid w:val="00C94B81"/>
    <w:rsid w:val="00C95846"/>
    <w:rsid w:val="00C96524"/>
    <w:rsid w:val="00C971A0"/>
    <w:rsid w:val="00CA4120"/>
    <w:rsid w:val="00CB174B"/>
    <w:rsid w:val="00CB1FC7"/>
    <w:rsid w:val="00CB6187"/>
    <w:rsid w:val="00CC4D6F"/>
    <w:rsid w:val="00CD41A4"/>
    <w:rsid w:val="00CF3E0A"/>
    <w:rsid w:val="00CF457D"/>
    <w:rsid w:val="00D0021C"/>
    <w:rsid w:val="00D2756C"/>
    <w:rsid w:val="00D36020"/>
    <w:rsid w:val="00D4076E"/>
    <w:rsid w:val="00D66B24"/>
    <w:rsid w:val="00D70C92"/>
    <w:rsid w:val="00D8169A"/>
    <w:rsid w:val="00D86AFF"/>
    <w:rsid w:val="00D936BD"/>
    <w:rsid w:val="00D9468E"/>
    <w:rsid w:val="00DA0C1F"/>
    <w:rsid w:val="00DA140E"/>
    <w:rsid w:val="00DA72D2"/>
    <w:rsid w:val="00DB19A0"/>
    <w:rsid w:val="00DD236F"/>
    <w:rsid w:val="00DD23AC"/>
    <w:rsid w:val="00DE5997"/>
    <w:rsid w:val="00DF09BE"/>
    <w:rsid w:val="00DF4B6C"/>
    <w:rsid w:val="00DF7CAC"/>
    <w:rsid w:val="00E00ED2"/>
    <w:rsid w:val="00E022A4"/>
    <w:rsid w:val="00E13652"/>
    <w:rsid w:val="00E221C8"/>
    <w:rsid w:val="00E22C0C"/>
    <w:rsid w:val="00E24511"/>
    <w:rsid w:val="00E26D2F"/>
    <w:rsid w:val="00E37CF8"/>
    <w:rsid w:val="00E421EC"/>
    <w:rsid w:val="00E46590"/>
    <w:rsid w:val="00E64E1E"/>
    <w:rsid w:val="00E71B05"/>
    <w:rsid w:val="00E76CB9"/>
    <w:rsid w:val="00E81C22"/>
    <w:rsid w:val="00E82FEF"/>
    <w:rsid w:val="00E83A5F"/>
    <w:rsid w:val="00E8770D"/>
    <w:rsid w:val="00E92553"/>
    <w:rsid w:val="00EA7B6B"/>
    <w:rsid w:val="00EA7C1C"/>
    <w:rsid w:val="00EB21F2"/>
    <w:rsid w:val="00EC4DC6"/>
    <w:rsid w:val="00EE2729"/>
    <w:rsid w:val="00EE34AC"/>
    <w:rsid w:val="00EE4250"/>
    <w:rsid w:val="00EF1E46"/>
    <w:rsid w:val="00EF2F44"/>
    <w:rsid w:val="00F053EF"/>
    <w:rsid w:val="00F0757E"/>
    <w:rsid w:val="00F2074F"/>
    <w:rsid w:val="00F21520"/>
    <w:rsid w:val="00F26B4B"/>
    <w:rsid w:val="00F50B5A"/>
    <w:rsid w:val="00F62C78"/>
    <w:rsid w:val="00F67FA3"/>
    <w:rsid w:val="00F67FF6"/>
    <w:rsid w:val="00F831AB"/>
    <w:rsid w:val="00F86AB2"/>
    <w:rsid w:val="00F901AD"/>
    <w:rsid w:val="00F91ED6"/>
    <w:rsid w:val="00F97B07"/>
    <w:rsid w:val="00FB2F05"/>
    <w:rsid w:val="00FB64DD"/>
    <w:rsid w:val="00FC01D4"/>
    <w:rsid w:val="00FC63A6"/>
    <w:rsid w:val="00FE24F0"/>
    <w:rsid w:val="00FF2EFF"/>
    <w:rsid w:val="00FF4292"/>
    <w:rsid w:val="00FF7A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irritun1">
    <w:name w:val="Undirritun 1"/>
    <w:basedOn w:val="Normal"/>
    <w:autoRedefine/>
    <w:qFormat/>
    <w:rsid w:val="008F692C"/>
    <w:pPr>
      <w:tabs>
        <w:tab w:val="left" w:pos="397"/>
        <w:tab w:val="left" w:pos="709"/>
        <w:tab w:val="right" w:pos="7796"/>
      </w:tabs>
      <w:jc w:val="center"/>
    </w:pPr>
    <w:rPr>
      <w:rFonts w:ascii="Times" w:hAnsi="Times"/>
      <w:b/>
      <w:noProof/>
      <w:sz w:val="21"/>
      <w:szCs w:val="20"/>
      <w:lang w:eastAsia="en-GB"/>
    </w:rPr>
  </w:style>
  <w:style w:type="paragraph" w:customStyle="1" w:styleId="Undirritun2">
    <w:name w:val="Undirritun 2"/>
    <w:basedOn w:val="Normal"/>
    <w:autoRedefine/>
    <w:qFormat/>
    <w:rsid w:val="008F692C"/>
    <w:pPr>
      <w:pBdr>
        <w:top w:val="single" w:sz="4" w:space="1" w:color="auto"/>
      </w:pBdr>
      <w:tabs>
        <w:tab w:val="left" w:pos="397"/>
        <w:tab w:val="left" w:pos="709"/>
        <w:tab w:val="right" w:pos="8222"/>
      </w:tabs>
      <w:ind w:left="5954" w:firstLine="142"/>
      <w:jc w:val="center"/>
    </w:pPr>
    <w:rPr>
      <w:rFonts w:ascii="Times" w:hAnsi="Times"/>
      <w:i/>
      <w:noProof/>
      <w:sz w:val="21"/>
      <w:szCs w:val="20"/>
      <w:lang w:eastAsia="en-GB"/>
    </w:rPr>
  </w:style>
  <w:style w:type="paragraph" w:styleId="Header">
    <w:name w:val="header"/>
    <w:basedOn w:val="Normal"/>
    <w:link w:val="HeaderChar"/>
    <w:uiPriority w:val="99"/>
    <w:unhideWhenUsed/>
    <w:rsid w:val="00B005D7"/>
    <w:pPr>
      <w:tabs>
        <w:tab w:val="center" w:pos="4536"/>
        <w:tab w:val="right" w:pos="9072"/>
      </w:tabs>
    </w:pPr>
  </w:style>
  <w:style w:type="character" w:customStyle="1" w:styleId="HeaderChar">
    <w:name w:val="Header Char"/>
    <w:basedOn w:val="DefaultParagraphFont"/>
    <w:link w:val="Header"/>
    <w:uiPriority w:val="99"/>
    <w:rsid w:val="00B005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5D7"/>
    <w:pPr>
      <w:tabs>
        <w:tab w:val="center" w:pos="4536"/>
        <w:tab w:val="right" w:pos="9072"/>
      </w:tabs>
    </w:pPr>
  </w:style>
  <w:style w:type="character" w:customStyle="1" w:styleId="FooterChar">
    <w:name w:val="Footer Char"/>
    <w:basedOn w:val="DefaultParagraphFont"/>
    <w:link w:val="Footer"/>
    <w:uiPriority w:val="99"/>
    <w:rsid w:val="00B005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irritun1">
    <w:name w:val="Undirritun 1"/>
    <w:basedOn w:val="Normal"/>
    <w:autoRedefine/>
    <w:qFormat/>
    <w:rsid w:val="008F692C"/>
    <w:pPr>
      <w:tabs>
        <w:tab w:val="left" w:pos="397"/>
        <w:tab w:val="left" w:pos="709"/>
        <w:tab w:val="right" w:pos="7796"/>
      </w:tabs>
      <w:jc w:val="center"/>
    </w:pPr>
    <w:rPr>
      <w:rFonts w:ascii="Times" w:hAnsi="Times"/>
      <w:b/>
      <w:noProof/>
      <w:sz w:val="21"/>
      <w:szCs w:val="20"/>
      <w:lang w:eastAsia="en-GB"/>
    </w:rPr>
  </w:style>
  <w:style w:type="paragraph" w:customStyle="1" w:styleId="Undirritun2">
    <w:name w:val="Undirritun 2"/>
    <w:basedOn w:val="Normal"/>
    <w:autoRedefine/>
    <w:qFormat/>
    <w:rsid w:val="008F692C"/>
    <w:pPr>
      <w:pBdr>
        <w:top w:val="single" w:sz="4" w:space="1" w:color="auto"/>
      </w:pBdr>
      <w:tabs>
        <w:tab w:val="left" w:pos="397"/>
        <w:tab w:val="left" w:pos="709"/>
        <w:tab w:val="right" w:pos="8222"/>
      </w:tabs>
      <w:ind w:left="5954" w:firstLine="142"/>
      <w:jc w:val="center"/>
    </w:pPr>
    <w:rPr>
      <w:rFonts w:ascii="Times" w:hAnsi="Times"/>
      <w:i/>
      <w:noProof/>
      <w:sz w:val="21"/>
      <w:szCs w:val="20"/>
      <w:lang w:eastAsia="en-GB"/>
    </w:rPr>
  </w:style>
  <w:style w:type="paragraph" w:styleId="Header">
    <w:name w:val="header"/>
    <w:basedOn w:val="Normal"/>
    <w:link w:val="HeaderChar"/>
    <w:uiPriority w:val="99"/>
    <w:unhideWhenUsed/>
    <w:rsid w:val="00B005D7"/>
    <w:pPr>
      <w:tabs>
        <w:tab w:val="center" w:pos="4536"/>
        <w:tab w:val="right" w:pos="9072"/>
      </w:tabs>
    </w:pPr>
  </w:style>
  <w:style w:type="character" w:customStyle="1" w:styleId="HeaderChar">
    <w:name w:val="Header Char"/>
    <w:basedOn w:val="DefaultParagraphFont"/>
    <w:link w:val="Header"/>
    <w:uiPriority w:val="99"/>
    <w:rsid w:val="00B005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5D7"/>
    <w:pPr>
      <w:tabs>
        <w:tab w:val="center" w:pos="4536"/>
        <w:tab w:val="right" w:pos="9072"/>
      </w:tabs>
    </w:pPr>
  </w:style>
  <w:style w:type="character" w:customStyle="1" w:styleId="FooterChar">
    <w:name w:val="Footer Char"/>
    <w:basedOn w:val="DefaultParagraphFont"/>
    <w:link w:val="Footer"/>
    <w:uiPriority w:val="99"/>
    <w:rsid w:val="00B005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Jóhannes Tómasson</dc:creator>
  <cp:lastModifiedBy>Jóhannes Tómasson</cp:lastModifiedBy>
  <cp:revision>3</cp:revision>
  <dcterms:created xsi:type="dcterms:W3CDTF">2014-06-03T15:16:00Z</dcterms:created>
  <dcterms:modified xsi:type="dcterms:W3CDTF">2014-06-06T12:41:00Z</dcterms:modified>
</cp:coreProperties>
</file>